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B920" w14:textId="77777777" w:rsidR="00D506BD" w:rsidRPr="00B627D3" w:rsidRDefault="00D506BD" w:rsidP="00D506BD">
      <w:pPr>
        <w:spacing w:line="360" w:lineRule="auto"/>
        <w:rPr>
          <w:rFonts w:ascii="MS PGothic" w:eastAsia="MS PGothic" w:hAnsi="MS PGothic" w:hint="eastAsia"/>
          <w:sz w:val="24"/>
          <w:szCs w:val="24"/>
          <w:lang w:eastAsia="zh-CN"/>
        </w:rPr>
      </w:pPr>
      <w:bookmarkStart w:id="0" w:name="_Hlk132373598"/>
      <w:r w:rsidRPr="00B627D3">
        <w:rPr>
          <w:rFonts w:ascii="MS PGothic" w:eastAsia="MS PGothic" w:hAnsi="MS PGothic" w:hint="eastAsia"/>
          <w:sz w:val="24"/>
          <w:szCs w:val="24"/>
          <w:lang w:eastAsia="zh-CN"/>
        </w:rPr>
        <w:t>▲中華人民共和国付加価値税法</w:t>
      </w:r>
    </w:p>
    <w:p w14:paraId="677AAF01" w14:textId="77777777" w:rsidR="00D506BD" w:rsidRPr="00B627D3" w:rsidRDefault="00D506BD" w:rsidP="00D506BD">
      <w:pPr>
        <w:spacing w:line="360" w:lineRule="auto"/>
        <w:rPr>
          <w:rFonts w:ascii="MS PGothic" w:eastAsia="MS PGothic" w:hAnsi="MS PGothic" w:hint="eastAsia"/>
          <w:sz w:val="24"/>
          <w:szCs w:val="24"/>
        </w:rPr>
      </w:pPr>
      <w:r w:rsidRPr="00B627D3">
        <w:rPr>
          <w:rFonts w:ascii="MS PGothic" w:eastAsia="MS PGothic" w:hAnsi="MS PGothic" w:hint="eastAsia"/>
          <w:sz w:val="24"/>
          <w:szCs w:val="24"/>
        </w:rPr>
        <w:t>ファイルの主な内容は次のとおりです。</w:t>
      </w:r>
    </w:p>
    <w:p w14:paraId="6898A3E9" w14:textId="77777777" w:rsidR="00D506BD" w:rsidRPr="00B627D3" w:rsidRDefault="00D506BD" w:rsidP="00D506BD">
      <w:pPr>
        <w:spacing w:line="360" w:lineRule="auto"/>
        <w:rPr>
          <w:rFonts w:ascii="MS PGothic" w:eastAsia="MS PGothic" w:hAnsi="MS PGothic" w:hint="eastAsia"/>
          <w:sz w:val="24"/>
          <w:szCs w:val="24"/>
        </w:rPr>
      </w:pPr>
      <w:r w:rsidRPr="00B627D3">
        <w:rPr>
          <w:rFonts w:ascii="MS PGothic" w:eastAsia="MS PGothic" w:hAnsi="MS PGothic" w:hint="eastAsia"/>
          <w:sz w:val="24"/>
          <w:szCs w:val="24"/>
        </w:rPr>
        <w:t>コメント</w:t>
      </w:r>
    </w:p>
    <w:p w14:paraId="42D506B9" w14:textId="63293844" w:rsidR="00D506BD" w:rsidRPr="00B627D3" w:rsidRDefault="00D506BD" w:rsidP="00D506BD">
      <w:pPr>
        <w:spacing w:line="360" w:lineRule="auto"/>
        <w:rPr>
          <w:rFonts w:ascii="MS PGothic" w:eastAsia="MS PGothic" w:hAnsi="MS PGothic" w:hint="eastAsia"/>
          <w:sz w:val="24"/>
          <w:szCs w:val="24"/>
        </w:rPr>
      </w:pPr>
      <w:r w:rsidRPr="00B627D3">
        <w:rPr>
          <w:rFonts w:ascii="MS PGothic" w:eastAsia="MS PGothic" w:hAnsi="MS PGothic" w:hint="eastAsia"/>
          <w:sz w:val="24"/>
          <w:szCs w:val="24"/>
        </w:rPr>
        <w:t>2024年12月25日第14期全国人民代表大会常務委員会第13回会議が採択され、2026年1月1日から</w:t>
      </w:r>
      <w:r w:rsidR="00B627D3">
        <w:rPr>
          <w:rFonts w:ascii="MS PGothic" w:eastAsia="MS PGothic" w:hAnsi="MS PGothic" w:hint="eastAsia"/>
          <w:sz w:val="24"/>
          <w:szCs w:val="24"/>
        </w:rPr>
        <w:t>実施</w:t>
      </w:r>
      <w:r w:rsidRPr="00B627D3">
        <w:rPr>
          <w:rFonts w:ascii="MS PGothic" w:eastAsia="MS PGothic" w:hAnsi="MS PGothic" w:hint="eastAsia"/>
          <w:sz w:val="24"/>
          <w:szCs w:val="24"/>
        </w:rPr>
        <w:t>され</w:t>
      </w:r>
      <w:r w:rsidR="00B627D3">
        <w:rPr>
          <w:rFonts w:ascii="MS PGothic" w:eastAsia="MS PGothic" w:hAnsi="MS PGothic" w:hint="eastAsia"/>
          <w:sz w:val="24"/>
          <w:szCs w:val="24"/>
        </w:rPr>
        <w:t>ます。</w:t>
      </w:r>
    </w:p>
    <w:p w14:paraId="016FC253" w14:textId="77777777" w:rsidR="00D506BD" w:rsidRPr="00B627D3" w:rsidRDefault="00D506BD" w:rsidP="00D506BD">
      <w:pPr>
        <w:spacing w:line="360" w:lineRule="auto"/>
        <w:rPr>
          <w:rFonts w:ascii="MS PGothic" w:eastAsia="MS PGothic" w:hAnsi="MS PGothic" w:hint="eastAsia"/>
          <w:sz w:val="24"/>
          <w:szCs w:val="24"/>
          <w:lang w:eastAsia="zh-TW"/>
        </w:rPr>
      </w:pPr>
      <w:r w:rsidRPr="00B627D3">
        <w:rPr>
          <w:rFonts w:ascii="MS PGothic" w:eastAsia="MS PGothic" w:hAnsi="MS PGothic" w:hint="eastAsia"/>
          <w:sz w:val="24"/>
          <w:szCs w:val="24"/>
          <w:lang w:eastAsia="zh-TW"/>
        </w:rPr>
        <w:t>目録</w:t>
      </w:r>
    </w:p>
    <w:p w14:paraId="377E98D5" w14:textId="77777777" w:rsidR="00D506BD" w:rsidRPr="00B627D3" w:rsidRDefault="00D506BD" w:rsidP="00D506BD">
      <w:pPr>
        <w:spacing w:line="360" w:lineRule="auto"/>
        <w:rPr>
          <w:rFonts w:ascii="MS PGothic" w:eastAsia="MS PGothic" w:hAnsi="MS PGothic" w:hint="eastAsia"/>
          <w:sz w:val="24"/>
          <w:szCs w:val="24"/>
          <w:lang w:eastAsia="zh-TW"/>
        </w:rPr>
      </w:pPr>
      <w:r w:rsidRPr="00B627D3">
        <w:rPr>
          <w:rFonts w:ascii="MS PGothic" w:eastAsia="MS PGothic" w:hAnsi="MS PGothic" w:hint="eastAsia"/>
          <w:sz w:val="24"/>
          <w:szCs w:val="24"/>
          <w:lang w:eastAsia="zh-TW"/>
        </w:rPr>
        <w:t>第一章総則</w:t>
      </w:r>
    </w:p>
    <w:p w14:paraId="0EBA0371" w14:textId="77777777" w:rsidR="00D506BD" w:rsidRPr="00B627D3" w:rsidRDefault="00D506BD" w:rsidP="00D506BD">
      <w:pPr>
        <w:spacing w:line="360" w:lineRule="auto"/>
        <w:rPr>
          <w:rFonts w:ascii="MS PGothic" w:eastAsia="MS PGothic" w:hAnsi="MS PGothic" w:hint="eastAsia"/>
          <w:sz w:val="24"/>
          <w:szCs w:val="24"/>
          <w:lang w:eastAsia="zh-TW"/>
        </w:rPr>
      </w:pPr>
      <w:r w:rsidRPr="00B627D3">
        <w:rPr>
          <w:rFonts w:ascii="MS PGothic" w:eastAsia="MS PGothic" w:hAnsi="MS PGothic" w:hint="eastAsia"/>
          <w:sz w:val="24"/>
          <w:szCs w:val="24"/>
          <w:lang w:eastAsia="zh-TW"/>
        </w:rPr>
        <w:t>第二章税率</w:t>
      </w:r>
    </w:p>
    <w:p w14:paraId="1122BFC0" w14:textId="77777777" w:rsidR="00D506BD" w:rsidRPr="00B627D3" w:rsidRDefault="00D506BD" w:rsidP="00D506BD">
      <w:pPr>
        <w:spacing w:line="360" w:lineRule="auto"/>
        <w:rPr>
          <w:rFonts w:ascii="MS PGothic" w:eastAsia="MS PGothic" w:hAnsi="MS PGothic" w:hint="eastAsia"/>
          <w:sz w:val="24"/>
          <w:szCs w:val="24"/>
          <w:lang w:eastAsia="zh-TW"/>
        </w:rPr>
      </w:pPr>
      <w:r w:rsidRPr="00B627D3">
        <w:rPr>
          <w:rFonts w:ascii="MS PGothic" w:eastAsia="MS PGothic" w:hAnsi="MS PGothic" w:hint="eastAsia"/>
          <w:sz w:val="24"/>
          <w:szCs w:val="24"/>
          <w:lang w:eastAsia="zh-TW"/>
        </w:rPr>
        <w:t>第三章課税額</w:t>
      </w:r>
    </w:p>
    <w:p w14:paraId="7D22D6FA" w14:textId="77777777" w:rsidR="00D506BD" w:rsidRPr="00B627D3" w:rsidRDefault="00D506BD" w:rsidP="00D506BD">
      <w:pPr>
        <w:spacing w:line="360" w:lineRule="auto"/>
        <w:rPr>
          <w:rFonts w:ascii="MS PGothic" w:eastAsia="MS PGothic" w:hAnsi="MS PGothic" w:hint="eastAsia"/>
          <w:sz w:val="24"/>
          <w:szCs w:val="24"/>
        </w:rPr>
      </w:pPr>
      <w:r w:rsidRPr="00B627D3">
        <w:rPr>
          <w:rFonts w:ascii="MS PGothic" w:eastAsia="MS PGothic" w:hAnsi="MS PGothic" w:hint="eastAsia"/>
          <w:sz w:val="24"/>
          <w:szCs w:val="24"/>
        </w:rPr>
        <w:t>第四章税収優遇</w:t>
      </w:r>
    </w:p>
    <w:p w14:paraId="4C42BE44" w14:textId="3C9E37CC" w:rsidR="001F3EF2" w:rsidRPr="00B627D3" w:rsidRDefault="00D506BD" w:rsidP="00D506BD">
      <w:pPr>
        <w:spacing w:line="360" w:lineRule="auto"/>
        <w:rPr>
          <w:rFonts w:ascii="MS PGothic" w:eastAsia="MS PGothic" w:hAnsi="MS PGothic"/>
          <w:sz w:val="24"/>
          <w:szCs w:val="24"/>
        </w:rPr>
      </w:pPr>
      <w:r w:rsidRPr="00B627D3">
        <w:rPr>
          <w:rFonts w:ascii="MS PGothic" w:eastAsia="MS PGothic" w:hAnsi="MS PGothic" w:hint="eastAsia"/>
          <w:sz w:val="24"/>
          <w:szCs w:val="24"/>
        </w:rPr>
        <w:t>第五章徴収管理</w:t>
      </w:r>
      <w:r w:rsidR="001F3EF2" w:rsidRPr="00B627D3">
        <w:rPr>
          <w:rFonts w:ascii="MS PGothic" w:eastAsia="MS PGothic" w:hAnsi="MS PGothic"/>
          <w:sz w:val="24"/>
          <w:szCs w:val="24"/>
          <w:lang w:eastAsia="zh-CN"/>
        </w:rPr>
        <w:t> </w:t>
      </w:r>
    </w:p>
    <w:p w14:paraId="4FD79D32" w14:textId="77777777" w:rsidR="00D506BD" w:rsidRPr="00B627D3" w:rsidRDefault="001F3EF2"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 xml:space="preserve">　　</w:t>
      </w:r>
      <w:r w:rsidR="00D506BD" w:rsidRPr="00B627D3">
        <w:rPr>
          <w:rFonts w:ascii="Calibri" w:eastAsia="宋体" w:hAnsi="Calibri" w:hint="eastAsia"/>
          <w:sz w:val="24"/>
          <w:szCs w:val="24"/>
        </w:rPr>
        <w:t>第一条質の高い発展に有利な付加価値税制度を健全化し、付加価値税の徴収と納付を規範化し、納税者の合法的権益を保護するために、本法を制定する。</w:t>
      </w:r>
    </w:p>
    <w:p w14:paraId="1DB6699F"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第二条付加価値税の税収活動は党と国家路線の方針</w:t>
      </w:r>
      <w:r w:rsidRPr="00B627D3">
        <w:rPr>
          <w:rFonts w:ascii="MS Mincho" w:hAnsi="MS Mincho" w:cs="MS Mincho" w:hint="eastAsia"/>
          <w:sz w:val="24"/>
          <w:szCs w:val="24"/>
        </w:rPr>
        <w:t>・</w:t>
      </w:r>
      <w:r w:rsidRPr="00B627D3">
        <w:rPr>
          <w:rFonts w:ascii="宋体" w:eastAsia="宋体" w:hAnsi="宋体" w:cs="宋体" w:hint="eastAsia"/>
          <w:sz w:val="24"/>
          <w:szCs w:val="24"/>
        </w:rPr>
        <w:t>政策、政策決定</w:t>
      </w:r>
      <w:r w:rsidRPr="00B627D3">
        <w:rPr>
          <w:rFonts w:ascii="MS Mincho" w:hAnsi="MS Mincho" w:cs="MS Mincho" w:hint="eastAsia"/>
          <w:sz w:val="24"/>
          <w:szCs w:val="24"/>
        </w:rPr>
        <w:t>・</w:t>
      </w:r>
      <w:r w:rsidRPr="00B627D3">
        <w:rPr>
          <w:rFonts w:ascii="宋体" w:eastAsia="宋体" w:hAnsi="宋体" w:cs="宋体" w:hint="eastAsia"/>
          <w:sz w:val="24"/>
          <w:szCs w:val="24"/>
        </w:rPr>
        <w:t>配置を貫徹</w:t>
      </w:r>
      <w:r w:rsidRPr="00B627D3">
        <w:rPr>
          <w:rFonts w:ascii="MS Mincho" w:hAnsi="MS Mincho" w:cs="MS Mincho" w:hint="eastAsia"/>
          <w:sz w:val="24"/>
          <w:szCs w:val="24"/>
        </w:rPr>
        <w:t>・</w:t>
      </w:r>
      <w:r w:rsidRPr="00B627D3">
        <w:rPr>
          <w:rFonts w:ascii="宋体" w:eastAsia="宋体" w:hAnsi="宋体" w:cs="宋体" w:hint="eastAsia"/>
          <w:sz w:val="24"/>
          <w:szCs w:val="24"/>
        </w:rPr>
        <w:t>実行し、国民経済と社会発展に奉仕しなければならない。</w:t>
      </w:r>
    </w:p>
    <w:p w14:paraId="79FEC629"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第三条中華人民共和国境内（以下境内と略称する）で貨物、サービス、無形資産、不動産（以下課税取引と略称する）を販売し、及び輸入貨物の単位と個人（個人工商業者を含む）は、増値税の納税者のために、本法の規定に従って増値税を納めなければならない。</w:t>
      </w:r>
    </w:p>
    <w:p w14:paraId="7621A6F2" w14:textId="77777777" w:rsidR="00D506BD" w:rsidRPr="00B627D3" w:rsidRDefault="00D506BD" w:rsidP="00D506BD">
      <w:pPr>
        <w:spacing w:line="360" w:lineRule="auto"/>
        <w:rPr>
          <w:rFonts w:ascii="Calibri" w:hAnsi="Calibri"/>
          <w:sz w:val="24"/>
          <w:szCs w:val="24"/>
        </w:rPr>
      </w:pPr>
      <w:r w:rsidRPr="00B627D3">
        <w:rPr>
          <w:rFonts w:ascii="Calibri" w:eastAsia="宋体" w:hAnsi="Calibri" w:hint="eastAsia"/>
          <w:sz w:val="24"/>
          <w:szCs w:val="24"/>
        </w:rPr>
        <w:t>販売貨物、サービス、無形資産、不動産とは、有償で貨物、不動産の所有権を譲渡し、有償でサービスを提供し、有償で無形資産の所有権または使用権を譲渡することを指す。</w:t>
      </w:r>
    </w:p>
    <w:p w14:paraId="4F4BDAC0"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第四条国内で課税取引が発生するとは、次の状況を指す：</w:t>
      </w:r>
    </w:p>
    <w:p w14:paraId="2C13DC28"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（一）貨物を販売する場合、貨物の出荷地又は所在地は境内にある。</w:t>
      </w:r>
    </w:p>
    <w:p w14:paraId="10F1AD4C"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（二）不動産を販売又は賃貸し、自然資源の使用権を譲渡する場合、不動産、自然資源の所在地は境内にある。</w:t>
      </w:r>
    </w:p>
    <w:p w14:paraId="2291EA05"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（三）金融商品を販売する場合、金融商品を国内で発行するか、または販売者を国内の単位と個人とする。</w:t>
      </w:r>
    </w:p>
    <w:p w14:paraId="62062154" w14:textId="62CCCB00" w:rsidR="001F3EF2" w:rsidRPr="00B627D3" w:rsidRDefault="00D506BD" w:rsidP="00D506BD">
      <w:pPr>
        <w:spacing w:line="360" w:lineRule="auto"/>
        <w:rPr>
          <w:rFonts w:ascii="Calibri" w:eastAsia="宋体" w:hAnsi="Calibri"/>
          <w:sz w:val="24"/>
          <w:szCs w:val="24"/>
          <w:lang w:eastAsia="zh-CN"/>
        </w:rPr>
      </w:pPr>
      <w:r w:rsidRPr="00B627D3">
        <w:rPr>
          <w:rFonts w:ascii="Calibri" w:eastAsia="宋体" w:hAnsi="Calibri" w:hint="eastAsia"/>
          <w:sz w:val="24"/>
          <w:szCs w:val="24"/>
        </w:rPr>
        <w:t>（四）本条第二項、第三項の規定のほか、販売サービス、無形資産の場合、サ</w:t>
      </w:r>
      <w:r w:rsidRPr="00B627D3">
        <w:rPr>
          <w:rFonts w:ascii="Calibri" w:eastAsia="宋体" w:hAnsi="Calibri" w:hint="eastAsia"/>
          <w:sz w:val="24"/>
          <w:szCs w:val="24"/>
        </w:rPr>
        <w:lastRenderedPageBreak/>
        <w:t>ービス、無形資産は国内で消費し、または販売者は国内の単位と個人である。</w:t>
      </w:r>
    </w:p>
    <w:p w14:paraId="4495B6E9" w14:textId="77777777" w:rsidR="00D506BD" w:rsidRPr="00B627D3" w:rsidRDefault="001F3EF2"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 xml:space="preserve">　　</w:t>
      </w:r>
      <w:r w:rsidR="00D506BD" w:rsidRPr="00B627D3">
        <w:rPr>
          <w:rFonts w:ascii="Calibri" w:eastAsia="宋体" w:hAnsi="Calibri" w:hint="eastAsia"/>
          <w:sz w:val="24"/>
          <w:szCs w:val="24"/>
        </w:rPr>
        <w:t>第</w:t>
      </w:r>
      <w:r w:rsidR="00D506BD" w:rsidRPr="00B627D3">
        <w:rPr>
          <w:rFonts w:ascii="Calibri" w:eastAsia="宋体" w:hAnsi="Calibri" w:hint="eastAsia"/>
          <w:sz w:val="24"/>
          <w:szCs w:val="24"/>
        </w:rPr>
        <w:t>5</w:t>
      </w:r>
      <w:r w:rsidR="00D506BD" w:rsidRPr="00B627D3">
        <w:rPr>
          <w:rFonts w:ascii="Calibri" w:eastAsia="宋体" w:hAnsi="Calibri" w:hint="eastAsia"/>
          <w:sz w:val="24"/>
          <w:szCs w:val="24"/>
        </w:rPr>
        <w:t>条次のいずれかの状況がある場合は、課税取引とみなし、本法の規定に従って付加価値税を納付しなければならない。</w:t>
      </w:r>
    </w:p>
    <w:p w14:paraId="3E96DC0A"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（一）単位と個人工商業者は自社生産または委託加工した貨物を集団福祉または個人消費に使用する、</w:t>
      </w:r>
    </w:p>
    <w:p w14:paraId="3C844BD7"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（二）単位と個人事業主が無償で貨物を譲渡する、</w:t>
      </w:r>
    </w:p>
    <w:p w14:paraId="3A5E59A3"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（三）単位と個人は無形資産、不動産又は金融商品を無償譲渡する。</w:t>
      </w:r>
    </w:p>
    <w:p w14:paraId="50A19695"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第六条次のいずれかの状況がある場合、課税取引に属さず、付加価値税を徴収しない：</w:t>
      </w:r>
    </w:p>
    <w:p w14:paraId="621AC032"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（一）従業員は雇用先又は雇用主に賃金、賃金を取得するサービスを提供する、</w:t>
      </w:r>
    </w:p>
    <w:p w14:paraId="374C37D9"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（二）行政事業性費用徴収、政府性基金の徴収、</w:t>
      </w:r>
    </w:p>
    <w:p w14:paraId="02075913" w14:textId="77777777" w:rsidR="00D506BD" w:rsidRPr="00B627D3" w:rsidRDefault="00D506BD" w:rsidP="00D506BD">
      <w:pPr>
        <w:spacing w:line="360" w:lineRule="auto"/>
        <w:rPr>
          <w:rFonts w:ascii="Calibri" w:eastAsia="宋体" w:hAnsi="Calibri" w:hint="eastAsia"/>
          <w:sz w:val="24"/>
          <w:szCs w:val="24"/>
        </w:rPr>
      </w:pPr>
      <w:r w:rsidRPr="00B627D3">
        <w:rPr>
          <w:rFonts w:ascii="Calibri" w:eastAsia="宋体" w:hAnsi="Calibri" w:hint="eastAsia"/>
          <w:sz w:val="24"/>
          <w:szCs w:val="24"/>
        </w:rPr>
        <w:t>（三）法律の規定に従って徴収、徴用されて補償を得る、</w:t>
      </w:r>
    </w:p>
    <w:p w14:paraId="46C4213D" w14:textId="77777777" w:rsidR="00344177" w:rsidRPr="00B627D3" w:rsidRDefault="00D506BD" w:rsidP="001F3EF2">
      <w:pPr>
        <w:spacing w:line="360" w:lineRule="auto"/>
        <w:rPr>
          <w:rFonts w:ascii="Calibri" w:eastAsia="宋体" w:hAnsi="Calibri"/>
          <w:sz w:val="24"/>
          <w:szCs w:val="24"/>
          <w:lang w:eastAsia="zh-CN"/>
        </w:rPr>
      </w:pPr>
      <w:r w:rsidRPr="00B627D3">
        <w:rPr>
          <w:rFonts w:ascii="Calibri" w:eastAsia="宋体" w:hAnsi="Calibri" w:hint="eastAsia"/>
          <w:sz w:val="24"/>
          <w:szCs w:val="24"/>
        </w:rPr>
        <w:t>（四）預金利息収入を取得する。</w:t>
      </w:r>
    </w:p>
    <w:p w14:paraId="03B6C20C" w14:textId="77777777" w:rsidR="00344177" w:rsidRPr="00B627D3" w:rsidRDefault="001F3EF2" w:rsidP="00344177">
      <w:pPr>
        <w:spacing w:line="360" w:lineRule="auto"/>
        <w:rPr>
          <w:rFonts w:ascii="Calibri" w:eastAsia="宋体" w:hAnsi="Calibri"/>
          <w:sz w:val="24"/>
          <w:szCs w:val="24"/>
          <w:lang w:eastAsia="zh-CN"/>
        </w:rPr>
      </w:pPr>
      <w:r w:rsidRPr="00B627D3">
        <w:rPr>
          <w:rFonts w:ascii="Calibri" w:eastAsia="宋体" w:hAnsi="Calibri" w:hint="eastAsia"/>
          <w:sz w:val="24"/>
          <w:szCs w:val="24"/>
          <w:lang w:eastAsia="zh-CN"/>
        </w:rPr>
        <w:t xml:space="preserve">　</w:t>
      </w:r>
    </w:p>
    <w:p w14:paraId="153F0347"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7</w:t>
      </w:r>
      <w:r w:rsidRPr="00B627D3">
        <w:rPr>
          <w:rFonts w:ascii="Calibri" w:eastAsia="宋体" w:hAnsi="Calibri" w:hint="eastAsia"/>
          <w:sz w:val="24"/>
          <w:szCs w:val="24"/>
        </w:rPr>
        <w:t>条付加価値税は価格外税であり、課税取引の売上高に付加価値税税額は含まれない。増値税の税額は、国務院の規定に従って取引証憑に単独で明記しなければならない。</w:t>
      </w:r>
    </w:p>
    <w:p w14:paraId="2D6D881F"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8</w:t>
      </w:r>
      <w:r w:rsidRPr="00B627D3">
        <w:rPr>
          <w:rFonts w:ascii="Calibri" w:eastAsia="宋体" w:hAnsi="Calibri" w:hint="eastAsia"/>
          <w:sz w:val="24"/>
          <w:szCs w:val="24"/>
        </w:rPr>
        <w:t>条納税者が課税取引を発生する場合、一般的な税金計算方法に従って、売上税額から仕入税額を控除して課税額を計算する方法によって、増値税を計算し納めなければならない。本法に別途規定がある場合を除く。</w:t>
      </w:r>
    </w:p>
    <w:p w14:paraId="5E0BD21F"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小規模納税者は、売上高と徴収率に基づいて課税額を計算する簡易税金計算方法により、付加価値税を計算納付することができる。</w:t>
      </w:r>
    </w:p>
    <w:p w14:paraId="0688C655"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国内外が協力して海洋石油、天然ガス付加価値税を採掘するための税金計算方法などは、国務院の関連規定に基づいて実行される。</w:t>
      </w:r>
    </w:p>
    <w:p w14:paraId="482D60E7"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9</w:t>
      </w:r>
      <w:r w:rsidRPr="00B627D3">
        <w:rPr>
          <w:rFonts w:ascii="Calibri" w:eastAsia="宋体" w:hAnsi="Calibri" w:hint="eastAsia"/>
          <w:sz w:val="24"/>
          <w:szCs w:val="24"/>
        </w:rPr>
        <w:t>条本法でいう小規模納税者とは、年間増値税に応募して売上高が</w:t>
      </w:r>
      <w:r w:rsidRPr="00B627D3">
        <w:rPr>
          <w:rFonts w:ascii="Calibri" w:eastAsia="宋体" w:hAnsi="Calibri" w:hint="eastAsia"/>
          <w:sz w:val="24"/>
          <w:szCs w:val="24"/>
        </w:rPr>
        <w:t>500</w:t>
      </w:r>
      <w:r w:rsidRPr="00B627D3">
        <w:rPr>
          <w:rFonts w:ascii="Calibri" w:eastAsia="宋体" w:hAnsi="Calibri" w:hint="eastAsia"/>
          <w:sz w:val="24"/>
          <w:szCs w:val="24"/>
        </w:rPr>
        <w:t>万元を超えていない納税者を指す。</w:t>
      </w:r>
    </w:p>
    <w:p w14:paraId="0FEB5656"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小規模納税者の会計計算が健全で、正確な税務資料を提供できる場合は、主管税務機関に登録を行い、本法に規定された一般的な税金計算方法に基づいて増値税を計算して納付することができる。</w:t>
      </w:r>
    </w:p>
    <w:p w14:paraId="175ABF1A" w14:textId="525BE19B" w:rsidR="001F3EF2" w:rsidRPr="00B627D3" w:rsidRDefault="00344177" w:rsidP="00344177">
      <w:pPr>
        <w:spacing w:line="360" w:lineRule="auto"/>
        <w:rPr>
          <w:rFonts w:ascii="Calibri" w:eastAsia="宋体" w:hAnsi="Calibri"/>
          <w:sz w:val="24"/>
          <w:szCs w:val="24"/>
        </w:rPr>
      </w:pPr>
      <w:r w:rsidRPr="00B627D3">
        <w:rPr>
          <w:rFonts w:ascii="Calibri" w:eastAsia="宋体" w:hAnsi="Calibri" w:hint="eastAsia"/>
          <w:sz w:val="24"/>
          <w:szCs w:val="24"/>
        </w:rPr>
        <w:lastRenderedPageBreak/>
        <w:t>国民経済と社会発展の必要に応じて、国務院は小規模納税者の基準を調整し、全国人民代表大会常務委員会に報告して登録することができる。</w:t>
      </w:r>
      <w:r w:rsidR="001F3EF2" w:rsidRPr="00B627D3">
        <w:rPr>
          <w:rFonts w:ascii="Calibri" w:eastAsia="宋体" w:hAnsi="Calibri"/>
          <w:sz w:val="24"/>
          <w:szCs w:val="24"/>
          <w:lang w:eastAsia="zh-CN"/>
        </w:rPr>
        <w:t> </w:t>
      </w:r>
    </w:p>
    <w:p w14:paraId="42004CA4"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第二章税率</w:t>
      </w:r>
    </w:p>
    <w:p w14:paraId="2088FBA2"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第十条付加価値税の税率：</w:t>
      </w:r>
    </w:p>
    <w:p w14:paraId="422A42CE"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（一）納税者は貨物の販売、加工修理修理修理サービス、有形動産賃貸サービス、輸入貨物は、本条第二項、第四項、第五項の規定を除き、税率は</w:t>
      </w:r>
      <w:r w:rsidRPr="00B627D3">
        <w:rPr>
          <w:rFonts w:ascii="Calibri" w:eastAsia="宋体" w:hAnsi="Calibri" w:hint="eastAsia"/>
          <w:sz w:val="24"/>
          <w:szCs w:val="24"/>
        </w:rPr>
        <w:t>13%</w:t>
      </w:r>
      <w:r w:rsidRPr="00B627D3">
        <w:rPr>
          <w:rFonts w:ascii="Calibri" w:eastAsia="宋体" w:hAnsi="Calibri" w:hint="eastAsia"/>
          <w:sz w:val="24"/>
          <w:szCs w:val="24"/>
        </w:rPr>
        <w:t>である。</w:t>
      </w:r>
    </w:p>
    <w:p w14:paraId="6A51A137"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（二）納税者は交通運輸、郵便、基礎電信、建築、不動産賃貸サービスを販売し、不動産を販売し、土地使用権を譲渡し、以下の貨物を販売または輸入し、本条第</w:t>
      </w:r>
      <w:r w:rsidRPr="00B627D3">
        <w:rPr>
          <w:rFonts w:ascii="Calibri" w:eastAsia="宋体" w:hAnsi="Calibri" w:hint="eastAsia"/>
          <w:sz w:val="24"/>
          <w:szCs w:val="24"/>
        </w:rPr>
        <w:t>4</w:t>
      </w:r>
      <w:r w:rsidRPr="00B627D3">
        <w:rPr>
          <w:rFonts w:ascii="Calibri" w:eastAsia="宋体" w:hAnsi="Calibri" w:hint="eastAsia"/>
          <w:sz w:val="24"/>
          <w:szCs w:val="24"/>
        </w:rPr>
        <w:t>項、第</w:t>
      </w:r>
      <w:r w:rsidRPr="00B627D3">
        <w:rPr>
          <w:rFonts w:ascii="Calibri" w:eastAsia="宋体" w:hAnsi="Calibri" w:hint="eastAsia"/>
          <w:sz w:val="24"/>
          <w:szCs w:val="24"/>
        </w:rPr>
        <w:t>5</w:t>
      </w:r>
      <w:r w:rsidRPr="00B627D3">
        <w:rPr>
          <w:rFonts w:ascii="Calibri" w:eastAsia="宋体" w:hAnsi="Calibri" w:hint="eastAsia"/>
          <w:sz w:val="24"/>
          <w:szCs w:val="24"/>
        </w:rPr>
        <w:t>項の規定を除いて、税率は</w:t>
      </w:r>
      <w:r w:rsidRPr="00B627D3">
        <w:rPr>
          <w:rFonts w:ascii="Calibri" w:eastAsia="宋体" w:hAnsi="Calibri" w:hint="eastAsia"/>
          <w:sz w:val="24"/>
          <w:szCs w:val="24"/>
        </w:rPr>
        <w:t>9%</w:t>
      </w:r>
      <w:r w:rsidRPr="00B627D3">
        <w:rPr>
          <w:rFonts w:ascii="Calibri" w:eastAsia="宋体" w:hAnsi="Calibri" w:hint="eastAsia"/>
          <w:sz w:val="24"/>
          <w:szCs w:val="24"/>
        </w:rPr>
        <w:t>である：</w:t>
      </w:r>
    </w:p>
    <w:p w14:paraId="58A2A6A7" w14:textId="77777777" w:rsidR="00344177" w:rsidRPr="00B627D3" w:rsidRDefault="00344177" w:rsidP="00344177">
      <w:pPr>
        <w:spacing w:line="360" w:lineRule="auto"/>
        <w:rPr>
          <w:rFonts w:ascii="Calibri" w:eastAsia="宋体" w:hAnsi="Calibri" w:hint="eastAsia"/>
          <w:sz w:val="24"/>
          <w:szCs w:val="24"/>
          <w:lang w:eastAsia="zh-TW"/>
        </w:rPr>
      </w:pPr>
      <w:r w:rsidRPr="00B627D3">
        <w:rPr>
          <w:rFonts w:ascii="Calibri" w:eastAsia="宋体" w:hAnsi="Calibri" w:hint="eastAsia"/>
          <w:sz w:val="24"/>
          <w:szCs w:val="24"/>
          <w:lang w:eastAsia="zh-TW"/>
        </w:rPr>
        <w:t>1.</w:t>
      </w:r>
      <w:r w:rsidRPr="00B627D3">
        <w:rPr>
          <w:rFonts w:ascii="Calibri" w:eastAsia="宋体" w:hAnsi="Calibri" w:hint="eastAsia"/>
          <w:sz w:val="24"/>
          <w:szCs w:val="24"/>
          <w:lang w:eastAsia="zh-TW"/>
        </w:rPr>
        <w:t>農産物、食用植物油、食用塩、</w:t>
      </w:r>
    </w:p>
    <w:p w14:paraId="72E02F2E"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2.</w:t>
      </w:r>
      <w:r w:rsidRPr="00B627D3">
        <w:rPr>
          <w:rFonts w:ascii="Calibri" w:eastAsia="宋体" w:hAnsi="Calibri" w:hint="eastAsia"/>
          <w:sz w:val="24"/>
          <w:szCs w:val="24"/>
        </w:rPr>
        <w:t>水道、暖房、冷房、熱水、ガス、石油液化ガス、天然ガス、ジメチルエーテル、メタンガス、住民用石炭製品、</w:t>
      </w:r>
    </w:p>
    <w:p w14:paraId="1D7EE1BD"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3.</w:t>
      </w:r>
      <w:r w:rsidRPr="00B627D3">
        <w:rPr>
          <w:rFonts w:ascii="Calibri" w:eastAsia="宋体" w:hAnsi="Calibri" w:hint="eastAsia"/>
          <w:sz w:val="24"/>
          <w:szCs w:val="24"/>
        </w:rPr>
        <w:t>図書、新聞、雑誌、オーディオ製品、電子出版物、</w:t>
      </w:r>
    </w:p>
    <w:p w14:paraId="27A6C409" w14:textId="77777777" w:rsidR="00344177" w:rsidRPr="00B627D3" w:rsidRDefault="00344177" w:rsidP="00344177">
      <w:pPr>
        <w:spacing w:line="360" w:lineRule="auto"/>
        <w:rPr>
          <w:rFonts w:ascii="Calibri" w:eastAsia="宋体" w:hAnsi="Calibri" w:hint="eastAsia"/>
          <w:sz w:val="24"/>
          <w:szCs w:val="24"/>
          <w:lang w:eastAsia="zh-TW"/>
        </w:rPr>
      </w:pPr>
      <w:r w:rsidRPr="00B627D3">
        <w:rPr>
          <w:rFonts w:ascii="Calibri" w:eastAsia="宋体" w:hAnsi="Calibri" w:hint="eastAsia"/>
          <w:sz w:val="24"/>
          <w:szCs w:val="24"/>
          <w:lang w:eastAsia="zh-TW"/>
        </w:rPr>
        <w:t>4.</w:t>
      </w:r>
      <w:r w:rsidRPr="00B627D3">
        <w:rPr>
          <w:rFonts w:ascii="Calibri" w:eastAsia="宋体" w:hAnsi="Calibri" w:hint="eastAsia"/>
          <w:sz w:val="24"/>
          <w:szCs w:val="24"/>
          <w:lang w:eastAsia="zh-TW"/>
        </w:rPr>
        <w:t>飼料、化学肥料、農薬、農機、農膜。</w:t>
      </w:r>
    </w:p>
    <w:p w14:paraId="43BB65D6"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（三）納税者販売サービス、無形資産は、本条第一項、第二項、第五項の規定を除き、税率は</w:t>
      </w:r>
      <w:r w:rsidRPr="00B627D3">
        <w:rPr>
          <w:rFonts w:ascii="Calibri" w:eastAsia="宋体" w:hAnsi="Calibri" w:hint="eastAsia"/>
          <w:sz w:val="24"/>
          <w:szCs w:val="24"/>
        </w:rPr>
        <w:t>6%</w:t>
      </w:r>
      <w:r w:rsidRPr="00B627D3">
        <w:rPr>
          <w:rFonts w:ascii="Calibri" w:eastAsia="宋体" w:hAnsi="Calibri" w:hint="eastAsia"/>
          <w:sz w:val="24"/>
          <w:szCs w:val="24"/>
        </w:rPr>
        <w:t>である。</w:t>
      </w:r>
    </w:p>
    <w:p w14:paraId="073E910C" w14:textId="77777777" w:rsidR="00344177" w:rsidRPr="00B627D3" w:rsidRDefault="00344177" w:rsidP="00344177">
      <w:pPr>
        <w:spacing w:line="360" w:lineRule="auto"/>
        <w:rPr>
          <w:rFonts w:ascii="Calibri" w:eastAsia="宋体" w:hAnsi="Calibri" w:hint="eastAsia"/>
          <w:sz w:val="24"/>
          <w:szCs w:val="24"/>
        </w:rPr>
      </w:pPr>
      <w:r w:rsidRPr="00B627D3">
        <w:rPr>
          <w:rFonts w:ascii="Calibri" w:eastAsia="宋体" w:hAnsi="Calibri" w:hint="eastAsia"/>
          <w:sz w:val="24"/>
          <w:szCs w:val="24"/>
        </w:rPr>
        <w:t>（四）納税者は貨物を輸出し、税率はゼロである。国務院に別途規定がある場合を除く。</w:t>
      </w:r>
    </w:p>
    <w:p w14:paraId="73A17348" w14:textId="77777777" w:rsidR="00344177" w:rsidRPr="00B627D3" w:rsidRDefault="00344177" w:rsidP="00344177">
      <w:pPr>
        <w:spacing w:line="360" w:lineRule="auto"/>
        <w:rPr>
          <w:rFonts w:ascii="Calibri" w:eastAsia="宋体" w:hAnsi="Calibri"/>
          <w:sz w:val="24"/>
          <w:szCs w:val="24"/>
          <w:lang w:eastAsia="zh-CN"/>
        </w:rPr>
      </w:pPr>
      <w:r w:rsidRPr="00B627D3">
        <w:rPr>
          <w:rFonts w:ascii="Calibri" w:eastAsia="宋体" w:hAnsi="Calibri" w:hint="eastAsia"/>
          <w:sz w:val="24"/>
          <w:szCs w:val="24"/>
        </w:rPr>
        <w:t>（五）国内の単位と個人が国境を越えて国務院の規定範囲内のサービス、無形資産を販売し、税率はゼロである。</w:t>
      </w:r>
    </w:p>
    <w:p w14:paraId="4212176E" w14:textId="77777777" w:rsidR="00344177" w:rsidRPr="00B627D3" w:rsidRDefault="00344177" w:rsidP="00344177">
      <w:pPr>
        <w:spacing w:line="360" w:lineRule="auto"/>
        <w:rPr>
          <w:rFonts w:ascii="Calibri" w:eastAsia="宋体" w:hAnsi="Calibri"/>
          <w:sz w:val="24"/>
          <w:szCs w:val="24"/>
          <w:lang w:eastAsia="zh-CN"/>
        </w:rPr>
      </w:pPr>
    </w:p>
    <w:p w14:paraId="4D265F32" w14:textId="77777777" w:rsidR="00105CB7" w:rsidRPr="00B627D3" w:rsidRDefault="001F3EF2"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 xml:space="preserve">　　</w:t>
      </w:r>
      <w:r w:rsidR="00105CB7" w:rsidRPr="00B627D3">
        <w:rPr>
          <w:rFonts w:ascii="Calibri" w:eastAsia="宋体" w:hAnsi="Calibri" w:hint="eastAsia"/>
          <w:sz w:val="24"/>
          <w:szCs w:val="24"/>
        </w:rPr>
        <w:t>第</w:t>
      </w:r>
      <w:r w:rsidR="00105CB7" w:rsidRPr="00B627D3">
        <w:rPr>
          <w:rFonts w:ascii="Calibri" w:eastAsia="宋体" w:hAnsi="Calibri" w:hint="eastAsia"/>
          <w:sz w:val="24"/>
          <w:szCs w:val="24"/>
        </w:rPr>
        <w:t>11</w:t>
      </w:r>
      <w:r w:rsidR="00105CB7" w:rsidRPr="00B627D3">
        <w:rPr>
          <w:rFonts w:ascii="Calibri" w:eastAsia="宋体" w:hAnsi="Calibri" w:hint="eastAsia"/>
          <w:sz w:val="24"/>
          <w:szCs w:val="24"/>
        </w:rPr>
        <w:t>条簡易税金計算方法を適用して増値税を計算する徴収率は</w:t>
      </w:r>
      <w:r w:rsidR="00105CB7" w:rsidRPr="00B627D3">
        <w:rPr>
          <w:rFonts w:ascii="Calibri" w:eastAsia="宋体" w:hAnsi="Calibri" w:hint="eastAsia"/>
          <w:sz w:val="24"/>
          <w:szCs w:val="24"/>
        </w:rPr>
        <w:t>3%</w:t>
      </w:r>
      <w:r w:rsidR="00105CB7" w:rsidRPr="00B627D3">
        <w:rPr>
          <w:rFonts w:ascii="Calibri" w:eastAsia="宋体" w:hAnsi="Calibri" w:hint="eastAsia"/>
          <w:sz w:val="24"/>
          <w:szCs w:val="24"/>
        </w:rPr>
        <w:t>である。</w:t>
      </w:r>
    </w:p>
    <w:p w14:paraId="541ED78E"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12</w:t>
      </w:r>
      <w:r w:rsidRPr="00B627D3">
        <w:rPr>
          <w:rFonts w:ascii="Calibri" w:eastAsia="宋体" w:hAnsi="Calibri" w:hint="eastAsia"/>
          <w:sz w:val="24"/>
          <w:szCs w:val="24"/>
        </w:rPr>
        <w:t>条納税者が</w:t>
      </w:r>
      <w:r w:rsidRPr="00B627D3">
        <w:rPr>
          <w:rFonts w:ascii="Calibri" w:eastAsia="宋体" w:hAnsi="Calibri" w:hint="eastAsia"/>
          <w:sz w:val="24"/>
          <w:szCs w:val="24"/>
        </w:rPr>
        <w:t>2</w:t>
      </w:r>
      <w:r w:rsidRPr="00B627D3">
        <w:rPr>
          <w:rFonts w:ascii="Calibri" w:eastAsia="宋体" w:hAnsi="Calibri" w:hint="eastAsia"/>
          <w:sz w:val="24"/>
          <w:szCs w:val="24"/>
        </w:rPr>
        <w:t>つ以上の課税取引が発生し、異なる税率、徴収率に関連する場合、異なる税率、徴収率を適用する売上高をそれぞれ計算しなければならない。別々に計算していない場合は、高適応税率から適用する。</w:t>
      </w:r>
    </w:p>
    <w:p w14:paraId="3E404CFC"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13</w:t>
      </w:r>
      <w:r w:rsidRPr="00B627D3">
        <w:rPr>
          <w:rFonts w:ascii="Calibri" w:eastAsia="宋体" w:hAnsi="Calibri" w:hint="eastAsia"/>
          <w:sz w:val="24"/>
          <w:szCs w:val="24"/>
        </w:rPr>
        <w:t>条納税者が発生した課税取引が</w:t>
      </w:r>
      <w:r w:rsidRPr="00B627D3">
        <w:rPr>
          <w:rFonts w:ascii="Calibri" w:eastAsia="宋体" w:hAnsi="Calibri" w:hint="eastAsia"/>
          <w:sz w:val="24"/>
          <w:szCs w:val="24"/>
        </w:rPr>
        <w:t>2</w:t>
      </w:r>
      <w:r w:rsidRPr="00B627D3">
        <w:rPr>
          <w:rFonts w:ascii="Calibri" w:eastAsia="宋体" w:hAnsi="Calibri" w:hint="eastAsia"/>
          <w:sz w:val="24"/>
          <w:szCs w:val="24"/>
        </w:rPr>
        <w:t>つ以上の税率、徴収率に関連する場合、課税取引の主要業務に応じて税率、徴収率を適用する。</w:t>
      </w:r>
    </w:p>
    <w:p w14:paraId="7F5BCE89" w14:textId="77777777" w:rsidR="00105CB7" w:rsidRPr="00B627D3" w:rsidRDefault="00105CB7" w:rsidP="00105CB7">
      <w:pPr>
        <w:spacing w:line="360" w:lineRule="auto"/>
        <w:rPr>
          <w:rFonts w:ascii="Calibri" w:eastAsia="宋体" w:hAnsi="Calibri"/>
          <w:sz w:val="24"/>
          <w:szCs w:val="24"/>
          <w:lang w:eastAsia="zh-CN"/>
        </w:rPr>
      </w:pPr>
      <w:r w:rsidRPr="00B627D3">
        <w:rPr>
          <w:rFonts w:ascii="Calibri" w:eastAsia="宋体" w:hAnsi="Calibri" w:hint="eastAsia"/>
          <w:sz w:val="24"/>
          <w:szCs w:val="24"/>
          <w:lang w:eastAsia="zh-CN"/>
        </w:rPr>
        <w:lastRenderedPageBreak/>
        <w:t>第三章課税額</w:t>
      </w:r>
    </w:p>
    <w:p w14:paraId="7C59029E" w14:textId="77777777" w:rsidR="00105CB7" w:rsidRPr="00B627D3" w:rsidRDefault="001F3EF2"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 xml:space="preserve">　　</w:t>
      </w:r>
      <w:r w:rsidR="00105CB7" w:rsidRPr="00B627D3">
        <w:rPr>
          <w:rFonts w:ascii="Calibri" w:eastAsia="宋体" w:hAnsi="Calibri" w:hint="eastAsia"/>
          <w:sz w:val="24"/>
          <w:szCs w:val="24"/>
        </w:rPr>
        <w:t>第</w:t>
      </w:r>
      <w:r w:rsidR="00105CB7" w:rsidRPr="00B627D3">
        <w:rPr>
          <w:rFonts w:ascii="Calibri" w:eastAsia="宋体" w:hAnsi="Calibri" w:hint="eastAsia"/>
          <w:sz w:val="24"/>
          <w:szCs w:val="24"/>
        </w:rPr>
        <w:t>14</w:t>
      </w:r>
      <w:r w:rsidR="00105CB7" w:rsidRPr="00B627D3">
        <w:rPr>
          <w:rFonts w:ascii="Calibri" w:eastAsia="宋体" w:hAnsi="Calibri" w:hint="eastAsia"/>
          <w:sz w:val="24"/>
          <w:szCs w:val="24"/>
        </w:rPr>
        <w:t>条一般税金計算方法に基づいて増値税を計算納付する場合、課税額は当期売上税額が当期仕入税額を控除した後の残高である。</w:t>
      </w:r>
    </w:p>
    <w:p w14:paraId="7DC66DF7"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簡易税金計算方法に基づいて増値税を納付する場合、課税額は当期売上高に徴収率を乗算する。</w:t>
      </w:r>
    </w:p>
    <w:p w14:paraId="4075A5A0"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輸入貨物は、本法に規定された構成税金計算価格に適用税率を乗じて増値税を計算し納付する。税金計算価格を構成し、関税税金計算価格に関税と消費税を加える、国務院に別途規定がある場合は、その規定に従う。</w:t>
      </w:r>
    </w:p>
    <w:p w14:paraId="7C5FBF91"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15</w:t>
      </w:r>
      <w:r w:rsidRPr="00B627D3">
        <w:rPr>
          <w:rFonts w:ascii="Calibri" w:eastAsia="宋体" w:hAnsi="Calibri" w:hint="eastAsia"/>
          <w:sz w:val="24"/>
          <w:szCs w:val="24"/>
        </w:rPr>
        <w:t>条国外の単位と個人が境内で課税取引を発生し、購入側を源泉徴収義務者とする、国務院の規定に基づいて国内代理人に税金の申告を委託する場合を除く。</w:t>
      </w:r>
    </w:p>
    <w:p w14:paraId="004512B8"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源泉徴収義務者が本法の規定に基づいて源泉徴収代行税金を源泉徴収する場合、売上高に税率を乗じて源泉徴収すべき税額を計算する。</w:t>
      </w:r>
    </w:p>
    <w:p w14:paraId="74EBC5D4"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16</w:t>
      </w:r>
      <w:r w:rsidRPr="00B627D3">
        <w:rPr>
          <w:rFonts w:ascii="Calibri" w:eastAsia="宋体" w:hAnsi="Calibri" w:hint="eastAsia"/>
          <w:sz w:val="24"/>
          <w:szCs w:val="24"/>
        </w:rPr>
        <w:t>条売上税額とは、納税者が課税取引を発生し、売上高に本法に規定する税率を乗じて計算する増値税税額を指す。</w:t>
      </w:r>
    </w:p>
    <w:p w14:paraId="14113D92"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仕入税額とは、納税者が貨物、サービス、無形資産、不動産を購入して支払ったり負担したりする付加価値税の税額を指す。</w:t>
      </w:r>
    </w:p>
    <w:p w14:paraId="6DC402FD" w14:textId="77777777" w:rsidR="00105CB7" w:rsidRPr="00B627D3" w:rsidRDefault="00105CB7" w:rsidP="00105CB7">
      <w:pPr>
        <w:spacing w:line="360" w:lineRule="auto"/>
        <w:rPr>
          <w:rFonts w:ascii="Calibri" w:eastAsia="宋体" w:hAnsi="Calibri"/>
          <w:sz w:val="24"/>
          <w:szCs w:val="24"/>
          <w:lang w:eastAsia="zh-CN"/>
        </w:rPr>
      </w:pPr>
      <w:r w:rsidRPr="00B627D3">
        <w:rPr>
          <w:rFonts w:ascii="Calibri" w:eastAsia="宋体" w:hAnsi="Calibri" w:hint="eastAsia"/>
          <w:sz w:val="24"/>
          <w:szCs w:val="24"/>
        </w:rPr>
        <w:t>納税者は、法律、行政法規又は国務院が規定する付加価値税控除証憑に基づいて売上税額から仕入税額を控除しなければならない。</w:t>
      </w:r>
    </w:p>
    <w:p w14:paraId="465F78AD" w14:textId="77777777" w:rsidR="00105CB7" w:rsidRPr="00B627D3" w:rsidRDefault="001F3EF2"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 xml:space="preserve">　　</w:t>
      </w:r>
      <w:r w:rsidR="00105CB7" w:rsidRPr="00B627D3">
        <w:rPr>
          <w:rFonts w:ascii="Calibri" w:eastAsia="宋体" w:hAnsi="Calibri" w:hint="eastAsia"/>
          <w:sz w:val="24"/>
          <w:szCs w:val="24"/>
        </w:rPr>
        <w:t>第十七条売上高とは、納税者が課税取引を発生して取得したそれに関連する代金を指し、貨幣と非貨幣形式の経済利益に対応するすべての代金を含み、一般的な税金計算方法によって計算した売上税額と簡易税金計算方法によって計算した課税額を含まない。</w:t>
      </w:r>
    </w:p>
    <w:p w14:paraId="57A54E93"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18</w:t>
      </w:r>
      <w:r w:rsidRPr="00B627D3">
        <w:rPr>
          <w:rFonts w:ascii="Calibri" w:eastAsia="宋体" w:hAnsi="Calibri" w:hint="eastAsia"/>
          <w:sz w:val="24"/>
          <w:szCs w:val="24"/>
        </w:rPr>
        <w:t>条売上高は人民元で計算する。納税者が人民元以外の通貨で売上高を決済する場合は、人民元に換算して計算しなければならない。</w:t>
      </w:r>
    </w:p>
    <w:p w14:paraId="7BC45369"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19</w:t>
      </w:r>
      <w:r w:rsidRPr="00B627D3">
        <w:rPr>
          <w:rFonts w:ascii="Calibri" w:eastAsia="宋体" w:hAnsi="Calibri" w:hint="eastAsia"/>
          <w:sz w:val="24"/>
          <w:szCs w:val="24"/>
        </w:rPr>
        <w:t>条本法第</w:t>
      </w:r>
      <w:r w:rsidRPr="00B627D3">
        <w:rPr>
          <w:rFonts w:ascii="Calibri" w:eastAsia="宋体" w:hAnsi="Calibri" w:hint="eastAsia"/>
          <w:sz w:val="24"/>
          <w:szCs w:val="24"/>
        </w:rPr>
        <w:t>5</w:t>
      </w:r>
      <w:r w:rsidRPr="00B627D3">
        <w:rPr>
          <w:rFonts w:ascii="Calibri" w:eastAsia="宋体" w:hAnsi="Calibri" w:hint="eastAsia"/>
          <w:sz w:val="24"/>
          <w:szCs w:val="24"/>
        </w:rPr>
        <w:t>条に規定された課税取引及び売上高を非貨幣形式とみなすことが発生した場合、納税者は市場価格に基づいて売上高を確定しなければならない。</w:t>
      </w:r>
    </w:p>
    <w:p w14:paraId="35C0E692" w14:textId="77777777" w:rsidR="00105CB7" w:rsidRPr="00B627D3" w:rsidRDefault="00105CB7" w:rsidP="00105CB7">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20</w:t>
      </w:r>
      <w:r w:rsidRPr="00B627D3">
        <w:rPr>
          <w:rFonts w:ascii="Calibri" w:eastAsia="宋体" w:hAnsi="Calibri" w:hint="eastAsia"/>
          <w:sz w:val="24"/>
          <w:szCs w:val="24"/>
        </w:rPr>
        <w:t>条売上高が明らかに低く、または高く、正当な理由がない場合、税務機</w:t>
      </w:r>
      <w:r w:rsidRPr="00B627D3">
        <w:rPr>
          <w:rFonts w:ascii="Calibri" w:eastAsia="宋体" w:hAnsi="Calibri" w:hint="eastAsia"/>
          <w:sz w:val="24"/>
          <w:szCs w:val="24"/>
        </w:rPr>
        <w:lastRenderedPageBreak/>
        <w:t>関は『中華人民共和国税収徴収管理法』と関連行政法規の規定に基づいて売上高を査定することができる。</w:t>
      </w:r>
    </w:p>
    <w:p w14:paraId="0D4880D8" w14:textId="77777777" w:rsidR="00105CB7" w:rsidRPr="00B627D3" w:rsidRDefault="00105CB7" w:rsidP="00105CB7">
      <w:pPr>
        <w:spacing w:line="360" w:lineRule="auto"/>
        <w:rPr>
          <w:rFonts w:ascii="Calibri" w:eastAsia="宋体" w:hAnsi="Calibri"/>
          <w:sz w:val="24"/>
          <w:szCs w:val="24"/>
          <w:lang w:eastAsia="zh-CN"/>
        </w:rPr>
      </w:pPr>
      <w:r w:rsidRPr="00B627D3">
        <w:rPr>
          <w:rFonts w:ascii="Calibri" w:eastAsia="宋体" w:hAnsi="Calibri" w:hint="eastAsia"/>
          <w:sz w:val="24"/>
          <w:szCs w:val="24"/>
        </w:rPr>
        <w:t>第</w:t>
      </w:r>
      <w:r w:rsidRPr="00B627D3">
        <w:rPr>
          <w:rFonts w:ascii="Calibri" w:eastAsia="宋体" w:hAnsi="Calibri" w:hint="eastAsia"/>
          <w:sz w:val="24"/>
          <w:szCs w:val="24"/>
        </w:rPr>
        <w:t>21</w:t>
      </w:r>
      <w:r w:rsidRPr="00B627D3">
        <w:rPr>
          <w:rFonts w:ascii="Calibri" w:eastAsia="宋体" w:hAnsi="Calibri" w:hint="eastAsia"/>
          <w:sz w:val="24"/>
          <w:szCs w:val="24"/>
        </w:rPr>
        <w:t>条当期の仕入税額が当期の売上税額より大きい部分は、納税者は国務院の規定に従って次期継続控除に繰越するか、または還付を申請することができる。</w:t>
      </w:r>
    </w:p>
    <w:p w14:paraId="4B9D951A" w14:textId="77777777" w:rsidR="005E0352" w:rsidRPr="00B627D3" w:rsidRDefault="001F3EF2" w:rsidP="005E0352">
      <w:pPr>
        <w:spacing w:line="360" w:lineRule="auto"/>
        <w:rPr>
          <w:rFonts w:ascii="Calibri" w:eastAsia="宋体" w:hAnsi="Calibri"/>
          <w:sz w:val="24"/>
          <w:szCs w:val="24"/>
          <w:lang w:eastAsia="zh-CN"/>
        </w:rPr>
      </w:pPr>
      <w:r w:rsidRPr="00B627D3">
        <w:rPr>
          <w:rFonts w:ascii="Calibri" w:eastAsia="宋体" w:hAnsi="Calibri" w:hint="eastAsia"/>
          <w:sz w:val="24"/>
          <w:szCs w:val="24"/>
          <w:lang w:eastAsia="zh-CN"/>
        </w:rPr>
        <w:t xml:space="preserve">　　</w:t>
      </w:r>
    </w:p>
    <w:p w14:paraId="776DF3D6"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22</w:t>
      </w:r>
      <w:r w:rsidRPr="00B627D3">
        <w:rPr>
          <w:rFonts w:ascii="Calibri" w:eastAsia="宋体" w:hAnsi="Calibri" w:hint="eastAsia"/>
          <w:sz w:val="24"/>
          <w:szCs w:val="24"/>
        </w:rPr>
        <w:t>条納税者の次の仕入税額は、その売上税額から控除してはならない：</w:t>
      </w:r>
    </w:p>
    <w:p w14:paraId="50306070"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（一）簡易税金計算方法を適用した税金計算項目に対応する仕入税額</w:t>
      </w:r>
    </w:p>
    <w:p w14:paraId="6AF080BA"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（二）増値税免除項目に対応する仕入税額</w:t>
      </w:r>
    </w:p>
    <w:p w14:paraId="278749D2"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（三）非正常損失項目に対応する仕入税額</w:t>
      </w:r>
    </w:p>
    <w:p w14:paraId="0C27C6A6"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（四）集団福祉又は個人消費のために購入し使用する貨物、サービス、無形資産、不動産に対応する仕入税額</w:t>
      </w:r>
    </w:p>
    <w:p w14:paraId="6CFC7B1C"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（五）購入して直接消費に使用する飲食サービス、住民の日常サービスと娯楽サービスに対応する仕入税額、</w:t>
      </w:r>
    </w:p>
    <w:p w14:paraId="2D0BD2D7"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（六）国務院が規定したその他の仕入税額。</w:t>
      </w:r>
    </w:p>
    <w:p w14:paraId="39A44AB6" w14:textId="77777777" w:rsidR="005E0352" w:rsidRPr="00B627D3" w:rsidRDefault="005E0352" w:rsidP="005E0352">
      <w:pPr>
        <w:spacing w:line="360" w:lineRule="auto"/>
        <w:rPr>
          <w:rFonts w:ascii="Calibri" w:eastAsia="宋体" w:hAnsi="Calibri"/>
          <w:sz w:val="24"/>
          <w:szCs w:val="24"/>
        </w:rPr>
      </w:pPr>
      <w:r w:rsidRPr="00B627D3">
        <w:rPr>
          <w:rFonts w:ascii="Calibri" w:eastAsia="宋体" w:hAnsi="Calibri"/>
          <w:sz w:val="24"/>
          <w:szCs w:val="24"/>
        </w:rPr>
        <w:t> </w:t>
      </w:r>
    </w:p>
    <w:p w14:paraId="6ED30254" w14:textId="77777777" w:rsidR="005E0352" w:rsidRPr="00B627D3" w:rsidRDefault="005E0352" w:rsidP="005E0352">
      <w:pPr>
        <w:spacing w:line="360" w:lineRule="auto"/>
        <w:rPr>
          <w:rFonts w:ascii="Calibri" w:eastAsia="宋体" w:hAnsi="Calibri"/>
          <w:sz w:val="24"/>
          <w:szCs w:val="24"/>
        </w:rPr>
      </w:pPr>
      <w:r w:rsidRPr="00B627D3">
        <w:rPr>
          <w:rFonts w:ascii="Calibri" w:eastAsia="宋体" w:hAnsi="Calibri"/>
          <w:sz w:val="24"/>
          <w:szCs w:val="24"/>
        </w:rPr>
        <w:t> </w:t>
      </w:r>
    </w:p>
    <w:p w14:paraId="300D4508"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第四章税収優遇</w:t>
      </w:r>
    </w:p>
    <w:p w14:paraId="081E08C5"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23</w:t>
      </w:r>
      <w:r w:rsidRPr="00B627D3">
        <w:rPr>
          <w:rFonts w:ascii="Calibri" w:eastAsia="宋体" w:hAnsi="Calibri" w:hint="eastAsia"/>
          <w:sz w:val="24"/>
          <w:szCs w:val="24"/>
        </w:rPr>
        <w:t>条小規模納税者が課税取引を発生し、売上高が課税点に達していない場合、付加価値税を免除する。課税点に達した場合は、本法の規定に基づいて増値税を全額計算して納付する。</w:t>
      </w:r>
    </w:p>
    <w:p w14:paraId="03431E46"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前項に規定された出発点の基準は国務院が規定し、全国人民代表大会常務委員会に報告して記録する。</w:t>
      </w:r>
    </w:p>
    <w:p w14:paraId="40ED1974"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24</w:t>
      </w:r>
      <w:r w:rsidRPr="00B627D3">
        <w:rPr>
          <w:rFonts w:ascii="Calibri" w:eastAsia="宋体" w:hAnsi="Calibri" w:hint="eastAsia"/>
          <w:sz w:val="24"/>
          <w:szCs w:val="24"/>
        </w:rPr>
        <w:t>条次の項目は付加価値税を免除する：</w:t>
      </w:r>
    </w:p>
    <w:p w14:paraId="62F64F8E"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（一）農業生産者が販売する自産農産物、農業機械耕作、排水灌漑、病虫害防止、植物保護、農牧保険及び関連技術訓練業務、家禽、家畜、水生動物の配種と疾病予防</w:t>
      </w:r>
    </w:p>
    <w:p w14:paraId="1E56F851"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（二）医療機関が提供する医療サービス</w:t>
      </w:r>
    </w:p>
    <w:p w14:paraId="09810D53"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（三）古書、自然人が販売した自分が使用した物品、</w:t>
      </w:r>
    </w:p>
    <w:p w14:paraId="36E8F116"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lastRenderedPageBreak/>
        <w:t>（四）科学研究、科学試験及び教育に直接使用される輸入機器、設備、</w:t>
      </w:r>
    </w:p>
    <w:p w14:paraId="21759ADB"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（五）外国政府、国際組織が無償援助した輸入物資と設備、</w:t>
      </w:r>
    </w:p>
    <w:p w14:paraId="37C29070"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（六）障害者の組織が直接輸入して障害者専用の物品、障害者個人が提供するサービス、</w:t>
      </w:r>
    </w:p>
    <w:p w14:paraId="3E2BDA1A"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（七）託児所、幼稚園、養老機構、障害者サービス機構が提供する育養サービス、結婚紹介サービス、葬祭サービス、</w:t>
      </w:r>
    </w:p>
    <w:p w14:paraId="335AE0E0"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（八）学校が提供する学歴教育サービス、学生の勤勉倹約が提供するサービス、</w:t>
      </w:r>
    </w:p>
    <w:p w14:paraId="4071CB84"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（九）記念館、博物館、文化館、文化財保護機関管理機構、美術館、展覧館、書画院、図書館が開催する文化活動の入場料収入、宗教場所が開催する文化、宗教活動の入場料収入。</w:t>
      </w:r>
    </w:p>
    <w:p w14:paraId="68994E22"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前項に規定する免税項目の具体的な基準は国務院が規定する。</w:t>
      </w:r>
    </w:p>
    <w:p w14:paraId="4AE1B513" w14:textId="77777777" w:rsidR="005E0352" w:rsidRPr="00B627D3" w:rsidRDefault="005E0352" w:rsidP="005E0352">
      <w:pPr>
        <w:spacing w:line="360" w:lineRule="auto"/>
        <w:rPr>
          <w:rFonts w:ascii="Calibri" w:eastAsia="宋体" w:hAnsi="Calibri"/>
          <w:sz w:val="24"/>
          <w:szCs w:val="24"/>
          <w:lang w:eastAsia="zh-CN"/>
        </w:rPr>
      </w:pPr>
      <w:r w:rsidRPr="00B627D3">
        <w:rPr>
          <w:rFonts w:ascii="Calibri" w:eastAsia="宋体" w:hAnsi="Calibri" w:hint="eastAsia"/>
          <w:sz w:val="24"/>
          <w:szCs w:val="24"/>
        </w:rPr>
        <w:t>第</w:t>
      </w:r>
      <w:r w:rsidRPr="00B627D3">
        <w:rPr>
          <w:rFonts w:ascii="Calibri" w:eastAsia="宋体" w:hAnsi="Calibri" w:hint="eastAsia"/>
          <w:sz w:val="24"/>
          <w:szCs w:val="24"/>
        </w:rPr>
        <w:t>25</w:t>
      </w:r>
      <w:r w:rsidRPr="00B627D3">
        <w:rPr>
          <w:rFonts w:ascii="Calibri" w:eastAsia="宋体" w:hAnsi="Calibri" w:hint="eastAsia"/>
          <w:sz w:val="24"/>
          <w:szCs w:val="24"/>
        </w:rPr>
        <w:t>条国民経済と社会発展の必要に応じて、国務院は中小企業の発展を支持し、重点産業を支援し、創業就業の革新を奨励し、公益事業の寄付などの状況に対して付加価値税特別優遇政策を制定することができ、全国人民代表大会常務委員会に報告して登録することができる。</w:t>
      </w:r>
      <w:r w:rsidR="001F3EF2" w:rsidRPr="00B627D3">
        <w:rPr>
          <w:rFonts w:ascii="Calibri" w:eastAsia="宋体" w:hAnsi="Calibri" w:hint="eastAsia"/>
          <w:sz w:val="24"/>
          <w:szCs w:val="24"/>
        </w:rPr>
        <w:t xml:space="preserve">　</w:t>
      </w:r>
    </w:p>
    <w:p w14:paraId="290E221A" w14:textId="77777777" w:rsidR="005E0352" w:rsidRPr="00B627D3" w:rsidRDefault="001F3EF2" w:rsidP="005E0352">
      <w:pPr>
        <w:spacing w:line="360" w:lineRule="auto"/>
        <w:rPr>
          <w:rFonts w:ascii="Calibri" w:eastAsia="宋体" w:hAnsi="Calibri"/>
          <w:sz w:val="24"/>
          <w:szCs w:val="24"/>
          <w:lang w:eastAsia="zh-CN"/>
        </w:rPr>
      </w:pPr>
      <w:r w:rsidRPr="00B627D3">
        <w:rPr>
          <w:rFonts w:ascii="Calibri" w:eastAsia="宋体" w:hAnsi="Calibri" w:hint="eastAsia"/>
          <w:sz w:val="24"/>
          <w:szCs w:val="24"/>
          <w:lang w:eastAsia="zh-CN"/>
        </w:rPr>
        <w:t xml:space="preserve">　</w:t>
      </w:r>
    </w:p>
    <w:p w14:paraId="1E3F0295"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26</w:t>
      </w:r>
      <w:r w:rsidRPr="00B627D3">
        <w:rPr>
          <w:rFonts w:ascii="Calibri" w:eastAsia="宋体" w:hAnsi="Calibri" w:hint="eastAsia"/>
          <w:sz w:val="24"/>
          <w:szCs w:val="24"/>
        </w:rPr>
        <w:t>条納税者が付加価値税優遇項目を兼営する場合、付加価値税優遇項目の売上高を単独で計算しなければならない。単独で計算していないプロジェクトは、税金優遇を受けてはならない。</w:t>
      </w:r>
    </w:p>
    <w:p w14:paraId="7252DE60"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27</w:t>
      </w:r>
      <w:r w:rsidRPr="00B627D3">
        <w:rPr>
          <w:rFonts w:ascii="Calibri" w:eastAsia="宋体" w:hAnsi="Calibri" w:hint="eastAsia"/>
          <w:sz w:val="24"/>
          <w:szCs w:val="24"/>
        </w:rPr>
        <w:t>条納税者は付加価値税優遇を放棄することができる、優遇を放棄した場合、</w:t>
      </w:r>
      <w:r w:rsidRPr="00B627D3">
        <w:rPr>
          <w:rFonts w:ascii="Calibri" w:eastAsia="宋体" w:hAnsi="Calibri" w:hint="eastAsia"/>
          <w:sz w:val="24"/>
          <w:szCs w:val="24"/>
        </w:rPr>
        <w:t>36</w:t>
      </w:r>
      <w:r w:rsidRPr="00B627D3">
        <w:rPr>
          <w:rFonts w:ascii="Calibri" w:eastAsia="宋体" w:hAnsi="Calibri" w:hint="eastAsia"/>
          <w:sz w:val="24"/>
          <w:szCs w:val="24"/>
        </w:rPr>
        <w:t>ヶ月以内にこの税金優遇を享受してはならず、小規模納税者を除く。</w:t>
      </w:r>
    </w:p>
    <w:p w14:paraId="7029F751" w14:textId="77777777" w:rsidR="005E0352" w:rsidRPr="00B627D3" w:rsidRDefault="005E0352" w:rsidP="005E0352">
      <w:pPr>
        <w:spacing w:line="360" w:lineRule="auto"/>
        <w:rPr>
          <w:rFonts w:ascii="Calibri" w:eastAsia="宋体" w:hAnsi="Calibri"/>
          <w:sz w:val="24"/>
          <w:szCs w:val="24"/>
        </w:rPr>
      </w:pPr>
      <w:r w:rsidRPr="00B627D3">
        <w:rPr>
          <w:rFonts w:ascii="Calibri" w:eastAsia="宋体" w:hAnsi="Calibri"/>
          <w:sz w:val="24"/>
          <w:szCs w:val="24"/>
        </w:rPr>
        <w:t> </w:t>
      </w:r>
    </w:p>
    <w:p w14:paraId="1501D4BE" w14:textId="77777777" w:rsidR="005E0352" w:rsidRPr="00B627D3" w:rsidRDefault="005E0352" w:rsidP="005E0352">
      <w:pPr>
        <w:spacing w:line="360" w:lineRule="auto"/>
        <w:rPr>
          <w:rFonts w:ascii="Calibri" w:eastAsia="宋体" w:hAnsi="Calibri"/>
          <w:sz w:val="24"/>
          <w:szCs w:val="24"/>
        </w:rPr>
      </w:pPr>
      <w:r w:rsidRPr="00B627D3">
        <w:rPr>
          <w:rFonts w:ascii="Calibri" w:eastAsia="宋体" w:hAnsi="Calibri"/>
          <w:sz w:val="24"/>
          <w:szCs w:val="24"/>
        </w:rPr>
        <w:t> </w:t>
      </w:r>
    </w:p>
    <w:p w14:paraId="024B294F"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第五章徴収管理</w:t>
      </w:r>
    </w:p>
    <w:p w14:paraId="187C7C97"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28</w:t>
      </w:r>
      <w:r w:rsidRPr="00B627D3">
        <w:rPr>
          <w:rFonts w:ascii="Calibri" w:eastAsia="宋体" w:hAnsi="Calibri" w:hint="eastAsia"/>
          <w:sz w:val="24"/>
          <w:szCs w:val="24"/>
        </w:rPr>
        <w:t>条付加価値税納税義務の発生時期は、以下の規定に従って確定する：</w:t>
      </w:r>
    </w:p>
    <w:p w14:paraId="7AC46BDF"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（一）課税取引が発生し、納税義務の発生時間は販売代金を受領した日又は販売代金の請求証憑を取得した日である。先に領収書を発行したのは、領収書を発行した当日である。</w:t>
      </w:r>
    </w:p>
    <w:p w14:paraId="5C6B31A3"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（二）同一課税取引が発生し、納税義務の発生時間は同一課税取引が完了した</w:t>
      </w:r>
      <w:r w:rsidRPr="00B627D3">
        <w:rPr>
          <w:rFonts w:ascii="Calibri" w:eastAsia="宋体" w:hAnsi="Calibri" w:hint="eastAsia"/>
          <w:sz w:val="24"/>
          <w:szCs w:val="24"/>
        </w:rPr>
        <w:lastRenderedPageBreak/>
        <w:t>日である。</w:t>
      </w:r>
    </w:p>
    <w:p w14:paraId="175C1C26"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（三）輸入貨物、納税義務の発生時間は貨物の通関輸入の当日である。</w:t>
      </w:r>
    </w:p>
    <w:p w14:paraId="43B0A0CA"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増値税源泉徴収義務の発生時期は、納税者の増値税納税義務が発生した当日である。</w:t>
      </w:r>
    </w:p>
    <w:p w14:paraId="6A154E0E"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29</w:t>
      </w:r>
      <w:r w:rsidRPr="00B627D3">
        <w:rPr>
          <w:rFonts w:ascii="Calibri" w:eastAsia="宋体" w:hAnsi="Calibri" w:hint="eastAsia"/>
          <w:sz w:val="24"/>
          <w:szCs w:val="24"/>
        </w:rPr>
        <w:t>条付加価値税納税場所は、以下の規定に従って確定する：</w:t>
      </w:r>
    </w:p>
    <w:p w14:paraId="4E6065C6"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一）固定生産経営場所を有する納税者は、その機関所在地又は居住地主管税務機関に納税申告しなければならない。総機構と支店が同じ県（市）にない場合は、それぞれの所在地の主管税務機関に納税を申告しなければならない。省クラス以上の財政、税務主管部門の許可を得て、総機構が総括して総機構の所在地の主管税務機関に納税を申告することができる。</w:t>
      </w:r>
    </w:p>
    <w:p w14:paraId="632D2BFA"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（二）固定生産経営場所のない納税者は、その課税取引発生地の主管税務機関に申告納税しなければならない。申告納税していない場合は、その機関の所在地または居住地の主管税務機関が税金を追徴する。</w:t>
      </w:r>
    </w:p>
    <w:p w14:paraId="56FD07DC"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（三）自然人は不動産を販売又は賃貸し、自然資源使用権を譲渡し、建築サービスを提供する場合、不動産所在地、自然資源所在地、建築サービス発生地の主管税務機関に申告納税しなければならない。</w:t>
      </w:r>
    </w:p>
    <w:p w14:paraId="44236E4B"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（四）輸入貨物の納税者は、税関が規定した場所に基づいて申告納税しなければならない。</w:t>
      </w:r>
    </w:p>
    <w:p w14:paraId="1E4B1840"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五）源泉徴収義務者は、その機関の所在地又は居住地主管税務機関に源泉徴収した税金を申告し納付しなければならない。機構所在地又は居住地が国外にある場合は、課税取引発生地の主管税務機関に源泉徴収した税金を申告し納付しなければならない。</w:t>
      </w:r>
    </w:p>
    <w:p w14:paraId="41EE2365"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30</w:t>
      </w:r>
      <w:r w:rsidRPr="00B627D3">
        <w:rPr>
          <w:rFonts w:ascii="Calibri" w:eastAsia="宋体" w:hAnsi="Calibri" w:hint="eastAsia"/>
          <w:sz w:val="24"/>
          <w:szCs w:val="24"/>
        </w:rPr>
        <w:t>条付加価値税の税金計算期間はそれぞれ</w:t>
      </w:r>
      <w:r w:rsidRPr="00B627D3">
        <w:rPr>
          <w:rFonts w:ascii="Calibri" w:eastAsia="宋体" w:hAnsi="Calibri" w:hint="eastAsia"/>
          <w:sz w:val="24"/>
          <w:szCs w:val="24"/>
        </w:rPr>
        <w:t>10</w:t>
      </w:r>
      <w:r w:rsidRPr="00B627D3">
        <w:rPr>
          <w:rFonts w:ascii="Calibri" w:eastAsia="宋体" w:hAnsi="Calibri" w:hint="eastAsia"/>
          <w:sz w:val="24"/>
          <w:szCs w:val="24"/>
        </w:rPr>
        <w:t>日、</w:t>
      </w:r>
      <w:r w:rsidRPr="00B627D3">
        <w:rPr>
          <w:rFonts w:ascii="Calibri" w:eastAsia="宋体" w:hAnsi="Calibri" w:hint="eastAsia"/>
          <w:sz w:val="24"/>
          <w:szCs w:val="24"/>
        </w:rPr>
        <w:t>15</w:t>
      </w:r>
      <w:r w:rsidRPr="00B627D3">
        <w:rPr>
          <w:rFonts w:ascii="Calibri" w:eastAsia="宋体" w:hAnsi="Calibri" w:hint="eastAsia"/>
          <w:sz w:val="24"/>
          <w:szCs w:val="24"/>
        </w:rPr>
        <w:t>日、</w:t>
      </w:r>
      <w:r w:rsidRPr="00B627D3">
        <w:rPr>
          <w:rFonts w:ascii="Calibri" w:eastAsia="宋体" w:hAnsi="Calibri" w:hint="eastAsia"/>
          <w:sz w:val="24"/>
          <w:szCs w:val="24"/>
        </w:rPr>
        <w:t>1</w:t>
      </w:r>
      <w:r w:rsidRPr="00B627D3">
        <w:rPr>
          <w:rFonts w:ascii="Calibri" w:eastAsia="宋体" w:hAnsi="Calibri" w:hint="eastAsia"/>
          <w:sz w:val="24"/>
          <w:szCs w:val="24"/>
        </w:rPr>
        <w:t>ヶ月または</w:t>
      </w:r>
      <w:r w:rsidRPr="00B627D3">
        <w:rPr>
          <w:rFonts w:ascii="Calibri" w:eastAsia="宋体" w:hAnsi="Calibri" w:hint="eastAsia"/>
          <w:sz w:val="24"/>
          <w:szCs w:val="24"/>
        </w:rPr>
        <w:t>1</w:t>
      </w:r>
      <w:r w:rsidRPr="00B627D3">
        <w:rPr>
          <w:rFonts w:ascii="Calibri" w:eastAsia="宋体" w:hAnsi="Calibri" w:hint="eastAsia"/>
          <w:sz w:val="24"/>
          <w:szCs w:val="24"/>
        </w:rPr>
        <w:t>四半期である。納税者の具体的な税金計算期間は、主管税務機関が納税者の課税額の大きさに基づいてそれぞれ査定する。課税取引が頻繁に発生しない納税者は、次のように納税することができます。</w:t>
      </w:r>
    </w:p>
    <w:p w14:paraId="67D0B2DB"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納税者が</w:t>
      </w:r>
      <w:r w:rsidRPr="00B627D3">
        <w:rPr>
          <w:rFonts w:ascii="Calibri" w:eastAsia="宋体" w:hAnsi="Calibri" w:hint="eastAsia"/>
          <w:sz w:val="24"/>
          <w:szCs w:val="24"/>
        </w:rPr>
        <w:t>1</w:t>
      </w:r>
      <w:r w:rsidRPr="00B627D3">
        <w:rPr>
          <w:rFonts w:ascii="Calibri" w:eastAsia="宋体" w:hAnsi="Calibri" w:hint="eastAsia"/>
          <w:sz w:val="24"/>
          <w:szCs w:val="24"/>
        </w:rPr>
        <w:t>ヶ月または四半期を</w:t>
      </w:r>
      <w:r w:rsidRPr="00B627D3">
        <w:rPr>
          <w:rFonts w:ascii="Calibri" w:eastAsia="宋体" w:hAnsi="Calibri" w:hint="eastAsia"/>
          <w:sz w:val="24"/>
          <w:szCs w:val="24"/>
        </w:rPr>
        <w:t>1</w:t>
      </w:r>
      <w:r w:rsidRPr="00B627D3">
        <w:rPr>
          <w:rFonts w:ascii="Calibri" w:eastAsia="宋体" w:hAnsi="Calibri" w:hint="eastAsia"/>
          <w:sz w:val="24"/>
          <w:szCs w:val="24"/>
        </w:rPr>
        <w:t>つの税金計算期間とする場合、満期の日から</w:t>
      </w:r>
      <w:r w:rsidRPr="00B627D3">
        <w:rPr>
          <w:rFonts w:ascii="Calibri" w:eastAsia="宋体" w:hAnsi="Calibri" w:hint="eastAsia"/>
          <w:sz w:val="24"/>
          <w:szCs w:val="24"/>
        </w:rPr>
        <w:t>15</w:t>
      </w:r>
      <w:r w:rsidRPr="00B627D3">
        <w:rPr>
          <w:rFonts w:ascii="Calibri" w:eastAsia="宋体" w:hAnsi="Calibri" w:hint="eastAsia"/>
          <w:sz w:val="24"/>
          <w:szCs w:val="24"/>
        </w:rPr>
        <w:t>日以内に納税を申告する。</w:t>
      </w:r>
      <w:r w:rsidRPr="00B627D3">
        <w:rPr>
          <w:rFonts w:ascii="Calibri" w:eastAsia="宋体" w:hAnsi="Calibri" w:hint="eastAsia"/>
          <w:sz w:val="24"/>
          <w:szCs w:val="24"/>
        </w:rPr>
        <w:t>10</w:t>
      </w:r>
      <w:r w:rsidRPr="00B627D3">
        <w:rPr>
          <w:rFonts w:ascii="Calibri" w:eastAsia="宋体" w:hAnsi="Calibri" w:hint="eastAsia"/>
          <w:sz w:val="24"/>
          <w:szCs w:val="24"/>
        </w:rPr>
        <w:t>日または</w:t>
      </w:r>
      <w:r w:rsidRPr="00B627D3">
        <w:rPr>
          <w:rFonts w:ascii="Calibri" w:eastAsia="宋体" w:hAnsi="Calibri" w:hint="eastAsia"/>
          <w:sz w:val="24"/>
          <w:szCs w:val="24"/>
        </w:rPr>
        <w:t>15</w:t>
      </w:r>
      <w:r w:rsidRPr="00B627D3">
        <w:rPr>
          <w:rFonts w:ascii="Calibri" w:eastAsia="宋体" w:hAnsi="Calibri" w:hint="eastAsia"/>
          <w:sz w:val="24"/>
          <w:szCs w:val="24"/>
        </w:rPr>
        <w:t>日を税金計算期間とする場合は、翌月</w:t>
      </w:r>
      <w:r w:rsidRPr="00B627D3">
        <w:rPr>
          <w:rFonts w:ascii="Calibri" w:eastAsia="宋体" w:hAnsi="Calibri" w:hint="eastAsia"/>
          <w:sz w:val="24"/>
          <w:szCs w:val="24"/>
        </w:rPr>
        <w:t>1</w:t>
      </w:r>
      <w:r w:rsidRPr="00B627D3">
        <w:rPr>
          <w:rFonts w:ascii="Calibri" w:eastAsia="宋体" w:hAnsi="Calibri" w:hint="eastAsia"/>
          <w:sz w:val="24"/>
          <w:szCs w:val="24"/>
        </w:rPr>
        <w:t>日から</w:t>
      </w:r>
      <w:r w:rsidRPr="00B627D3">
        <w:rPr>
          <w:rFonts w:ascii="Calibri" w:eastAsia="宋体" w:hAnsi="Calibri" w:hint="eastAsia"/>
          <w:sz w:val="24"/>
          <w:szCs w:val="24"/>
        </w:rPr>
        <w:t>15</w:t>
      </w:r>
      <w:r w:rsidRPr="00B627D3">
        <w:rPr>
          <w:rFonts w:ascii="Calibri" w:eastAsia="宋体" w:hAnsi="Calibri" w:hint="eastAsia"/>
          <w:sz w:val="24"/>
          <w:szCs w:val="24"/>
        </w:rPr>
        <w:t>日以内に申告して納税する。</w:t>
      </w:r>
    </w:p>
    <w:p w14:paraId="24EC2B6F" w14:textId="77777777" w:rsidR="005E0352" w:rsidRPr="00B627D3" w:rsidRDefault="005E0352" w:rsidP="005E0352">
      <w:pPr>
        <w:spacing w:line="360" w:lineRule="auto"/>
        <w:rPr>
          <w:rFonts w:ascii="Calibri" w:eastAsia="宋体" w:hAnsi="Calibri"/>
          <w:sz w:val="24"/>
          <w:szCs w:val="24"/>
          <w:lang w:eastAsia="zh-CN"/>
        </w:rPr>
      </w:pPr>
      <w:r w:rsidRPr="00B627D3">
        <w:rPr>
          <w:rFonts w:ascii="Calibri" w:eastAsia="宋体" w:hAnsi="Calibri" w:hint="eastAsia"/>
          <w:sz w:val="24"/>
          <w:szCs w:val="24"/>
        </w:rPr>
        <w:lastRenderedPageBreak/>
        <w:t>源泉徴収義務者が税金を納付する税金計算期間と申告納税期限は、前の</w:t>
      </w:r>
      <w:r w:rsidRPr="00B627D3">
        <w:rPr>
          <w:rFonts w:ascii="Calibri" w:eastAsia="宋体" w:hAnsi="Calibri" w:hint="eastAsia"/>
          <w:sz w:val="24"/>
          <w:szCs w:val="24"/>
        </w:rPr>
        <w:t>2</w:t>
      </w:r>
      <w:r w:rsidRPr="00B627D3">
        <w:rPr>
          <w:rFonts w:ascii="Calibri" w:eastAsia="宋体" w:hAnsi="Calibri" w:hint="eastAsia"/>
          <w:sz w:val="24"/>
          <w:szCs w:val="24"/>
        </w:rPr>
        <w:t>つの規定に従って実行する。</w:t>
      </w:r>
    </w:p>
    <w:p w14:paraId="411D9C1F" w14:textId="77777777" w:rsidR="005E0352" w:rsidRPr="00B627D3" w:rsidRDefault="001F3EF2" w:rsidP="005E0352">
      <w:pPr>
        <w:spacing w:line="360" w:lineRule="auto"/>
        <w:rPr>
          <w:rFonts w:ascii="Calibri" w:eastAsia="宋体" w:hAnsi="Calibri"/>
          <w:sz w:val="24"/>
          <w:szCs w:val="24"/>
          <w:lang w:eastAsia="zh-CN"/>
        </w:rPr>
      </w:pPr>
      <w:r w:rsidRPr="00B627D3">
        <w:rPr>
          <w:rFonts w:ascii="Calibri" w:eastAsia="宋体" w:hAnsi="Calibri" w:hint="eastAsia"/>
          <w:sz w:val="24"/>
          <w:szCs w:val="24"/>
          <w:lang w:eastAsia="zh-CN"/>
        </w:rPr>
        <w:t xml:space="preserve">　　</w:t>
      </w:r>
    </w:p>
    <w:p w14:paraId="27FB293B"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31</w:t>
      </w:r>
      <w:r w:rsidRPr="00B627D3">
        <w:rPr>
          <w:rFonts w:ascii="Calibri" w:eastAsia="宋体" w:hAnsi="Calibri" w:hint="eastAsia"/>
          <w:sz w:val="24"/>
          <w:szCs w:val="24"/>
        </w:rPr>
        <w:t>本のタックス？ペイヤ</w:t>
      </w:r>
      <w:r w:rsidRPr="00B627D3">
        <w:rPr>
          <w:rFonts w:ascii="Calibri" w:eastAsia="宋体" w:hAnsi="Calibri" w:hint="eastAsia"/>
          <w:sz w:val="24"/>
          <w:szCs w:val="24"/>
        </w:rPr>
        <w:t>-</w:t>
      </w:r>
      <w:r w:rsidRPr="00B627D3">
        <w:rPr>
          <w:rFonts w:ascii="Calibri" w:eastAsia="宋体" w:hAnsi="Calibri" w:hint="eastAsia"/>
          <w:sz w:val="24"/>
          <w:szCs w:val="24"/>
        </w:rPr>
        <w:t>は</w:t>
      </w:r>
      <w:r w:rsidRPr="00B627D3">
        <w:rPr>
          <w:rFonts w:ascii="Calibri" w:eastAsia="宋体" w:hAnsi="Calibri" w:hint="eastAsia"/>
          <w:sz w:val="24"/>
          <w:szCs w:val="24"/>
        </w:rPr>
        <w:t>10</w:t>
      </w:r>
      <w:r w:rsidRPr="00B627D3">
        <w:rPr>
          <w:rFonts w:ascii="Calibri" w:eastAsia="宋体" w:hAnsi="Calibri" w:hint="eastAsia"/>
          <w:sz w:val="24"/>
          <w:szCs w:val="24"/>
        </w:rPr>
        <w:t>日あるいは</w:t>
      </w:r>
      <w:r w:rsidRPr="00B627D3">
        <w:rPr>
          <w:rFonts w:ascii="Calibri" w:eastAsia="宋体" w:hAnsi="Calibri" w:hint="eastAsia"/>
          <w:sz w:val="24"/>
          <w:szCs w:val="24"/>
        </w:rPr>
        <w:t>15</w:t>
      </w:r>
      <w:r w:rsidRPr="00B627D3">
        <w:rPr>
          <w:rFonts w:ascii="Calibri" w:eastAsia="宋体" w:hAnsi="Calibri" w:hint="eastAsia"/>
          <w:sz w:val="24"/>
          <w:szCs w:val="24"/>
        </w:rPr>
        <w:t>日を</w:t>
      </w:r>
      <w:r w:rsidRPr="00B627D3">
        <w:rPr>
          <w:rFonts w:ascii="Calibri" w:eastAsia="宋体" w:hAnsi="Calibri" w:hint="eastAsia"/>
          <w:sz w:val="24"/>
          <w:szCs w:val="24"/>
        </w:rPr>
        <w:t>1</w:t>
      </w:r>
      <w:r w:rsidRPr="00B627D3">
        <w:rPr>
          <w:rFonts w:ascii="Calibri" w:eastAsia="宋体" w:hAnsi="Calibri" w:hint="eastAsia"/>
          <w:sz w:val="24"/>
          <w:szCs w:val="24"/>
        </w:rPr>
        <w:t>つの税金計算期間とする場合、満期の日から</w:t>
      </w:r>
      <w:r w:rsidRPr="00B627D3">
        <w:rPr>
          <w:rFonts w:ascii="Calibri" w:eastAsia="宋体" w:hAnsi="Calibri" w:hint="eastAsia"/>
          <w:sz w:val="24"/>
          <w:szCs w:val="24"/>
        </w:rPr>
        <w:t>5</w:t>
      </w:r>
      <w:r w:rsidRPr="00B627D3">
        <w:rPr>
          <w:rFonts w:ascii="Calibri" w:eastAsia="宋体" w:hAnsi="Calibri" w:hint="eastAsia"/>
          <w:sz w:val="24"/>
          <w:szCs w:val="24"/>
        </w:rPr>
        <w:t>日以内に税金を前納しなければならない。</w:t>
      </w:r>
    </w:p>
    <w:p w14:paraId="69697959"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法律、行政法規は納税者の源泉徴収に対して別途規定がある場合、その規定に従う。</w:t>
      </w:r>
    </w:p>
    <w:p w14:paraId="0E613F06"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32</w:t>
      </w:r>
      <w:r w:rsidRPr="00B627D3">
        <w:rPr>
          <w:rFonts w:ascii="Calibri" w:eastAsia="宋体" w:hAnsi="Calibri" w:hint="eastAsia"/>
          <w:sz w:val="24"/>
          <w:szCs w:val="24"/>
        </w:rPr>
        <w:t>本の増値税は税務機関が徴収し、輸入貨物の増値税は税関が代理徴収する。</w:t>
      </w:r>
    </w:p>
    <w:p w14:paraId="43BB8E0A"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税関は付加価値税の代徴と貨物輸出通関の情報を税務機関に提供しなければならない。</w:t>
      </w:r>
    </w:p>
    <w:p w14:paraId="0D44ECB4"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個人の持ち込みまたは郵送による入国物品増値税の徴収方法は国務院が制定し、全国人民代表大会常務委員会に報告して登録する。</w:t>
      </w:r>
    </w:p>
    <w:p w14:paraId="28396B6A"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33</w:t>
      </w:r>
      <w:r w:rsidRPr="00B627D3">
        <w:rPr>
          <w:rFonts w:ascii="Calibri" w:eastAsia="宋体" w:hAnsi="Calibri" w:hint="eastAsia"/>
          <w:sz w:val="24"/>
          <w:szCs w:val="24"/>
        </w:rPr>
        <w:t>本のタックス？ペイヤ</w:t>
      </w:r>
      <w:r w:rsidRPr="00B627D3">
        <w:rPr>
          <w:rFonts w:ascii="Calibri" w:eastAsia="宋体" w:hAnsi="Calibri" w:hint="eastAsia"/>
          <w:sz w:val="24"/>
          <w:szCs w:val="24"/>
        </w:rPr>
        <w:t>-</w:t>
      </w:r>
      <w:r w:rsidRPr="00B627D3">
        <w:rPr>
          <w:rFonts w:ascii="Calibri" w:eastAsia="宋体" w:hAnsi="Calibri" w:hint="eastAsia"/>
          <w:sz w:val="24"/>
          <w:szCs w:val="24"/>
        </w:rPr>
        <w:t>は貨物を輸出してあるいは国境を越えてサービス、無形資産を販売して、ゼロ税率を適用する場合、主管税務機関に申告して税金を還付（免除）しなければならない。輸出税還付（免除）の具体的な方法は、国務院が制定する。</w:t>
      </w:r>
    </w:p>
    <w:p w14:paraId="3DDA99EC"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34</w:t>
      </w:r>
      <w:r w:rsidRPr="00B627D3">
        <w:rPr>
          <w:rFonts w:ascii="Calibri" w:eastAsia="宋体" w:hAnsi="Calibri" w:hint="eastAsia"/>
          <w:sz w:val="24"/>
          <w:szCs w:val="24"/>
        </w:rPr>
        <w:t>条納税者は法に基づいて増値税領収書を発行し、使用しなければならない。付加価値税請求書には、紙の請求書と電子請求書が含まれます。電子インボイスは紙インボイスと同等の法的効力を有する。</w:t>
      </w:r>
    </w:p>
    <w:p w14:paraId="064FD977"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国は電子インボイスの使用を積極的に推進している。</w:t>
      </w:r>
    </w:p>
    <w:p w14:paraId="40565ED5"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35</w:t>
      </w:r>
      <w:r w:rsidRPr="00B627D3">
        <w:rPr>
          <w:rFonts w:ascii="Calibri" w:eastAsia="宋体" w:hAnsi="Calibri" w:hint="eastAsia"/>
          <w:sz w:val="24"/>
          <w:szCs w:val="24"/>
        </w:rPr>
        <w:t>本の税務機関は工業と情報化、公安、税関、市場監督管理、人民銀行、金融監督管理などの部門と付加価値税に関する情報共有メカニズムと業務協力メカニズムを構築する。</w:t>
      </w:r>
    </w:p>
    <w:p w14:paraId="4C80D87C"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関係部門は法律、行政法規に基づいて、それぞれの職責範囲内で、税務機関の付加価値税徴収管理の展開を支持し、協力しなければならない。</w:t>
      </w:r>
    </w:p>
    <w:p w14:paraId="05FDF55A"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w:t>
      </w:r>
      <w:r w:rsidRPr="00B627D3">
        <w:rPr>
          <w:rFonts w:ascii="Calibri" w:eastAsia="宋体" w:hAnsi="Calibri" w:hint="eastAsia"/>
          <w:sz w:val="24"/>
          <w:szCs w:val="24"/>
        </w:rPr>
        <w:t>36</w:t>
      </w:r>
      <w:r w:rsidRPr="00B627D3">
        <w:rPr>
          <w:rFonts w:ascii="Calibri" w:eastAsia="宋体" w:hAnsi="Calibri" w:hint="eastAsia"/>
          <w:sz w:val="24"/>
          <w:szCs w:val="24"/>
        </w:rPr>
        <w:t>条付加価値税の徴収管理は本法と『中華人民共和国税収徴収管理法』の規定に従って実行する。</w:t>
      </w:r>
    </w:p>
    <w:p w14:paraId="7ABA2B2C" w14:textId="77777777" w:rsidR="005E0352" w:rsidRPr="00B627D3" w:rsidRDefault="005E0352" w:rsidP="005E0352">
      <w:pPr>
        <w:spacing w:line="360" w:lineRule="auto"/>
        <w:rPr>
          <w:rFonts w:ascii="Calibri" w:eastAsia="宋体" w:hAnsi="Calibri"/>
          <w:sz w:val="24"/>
          <w:szCs w:val="24"/>
        </w:rPr>
      </w:pPr>
      <w:r w:rsidRPr="00B627D3">
        <w:rPr>
          <w:rFonts w:ascii="Calibri" w:eastAsia="宋体" w:hAnsi="Calibri" w:hint="eastAsia"/>
          <w:sz w:val="24"/>
          <w:szCs w:val="24"/>
        </w:rPr>
        <w:t>第</w:t>
      </w:r>
      <w:r w:rsidRPr="00B627D3">
        <w:rPr>
          <w:rFonts w:ascii="Calibri" w:eastAsia="宋体" w:hAnsi="Calibri"/>
          <w:sz w:val="24"/>
          <w:szCs w:val="24"/>
        </w:rPr>
        <w:t>37</w:t>
      </w:r>
      <w:r w:rsidRPr="00B627D3">
        <w:rPr>
          <w:rFonts w:ascii="Calibri" w:eastAsia="宋体" w:hAnsi="Calibri" w:hint="eastAsia"/>
          <w:sz w:val="24"/>
          <w:szCs w:val="24"/>
        </w:rPr>
        <w:t>本の納税者、源泉徴収義務者、税務機関及びその従業員が本法の規定に</w:t>
      </w:r>
      <w:r w:rsidRPr="00B627D3">
        <w:rPr>
          <w:rFonts w:ascii="Calibri" w:eastAsia="宋体" w:hAnsi="Calibri" w:hint="eastAsia"/>
          <w:sz w:val="24"/>
          <w:szCs w:val="24"/>
        </w:rPr>
        <w:lastRenderedPageBreak/>
        <w:t>違反した場合、『中華人民共和国税収徴収管理法』と関連法律、行政法規の規定に基づいて法律責任を追及する。</w:t>
      </w:r>
      <w:r w:rsidRPr="00B627D3">
        <w:rPr>
          <w:rFonts w:ascii="Calibri" w:eastAsia="宋体" w:hAnsi="Calibri"/>
          <w:sz w:val="24"/>
          <w:szCs w:val="24"/>
        </w:rPr>
        <w:t> </w:t>
      </w:r>
    </w:p>
    <w:p w14:paraId="53174100" w14:textId="77777777" w:rsidR="005E0352" w:rsidRPr="00B627D3" w:rsidRDefault="005E0352" w:rsidP="005E0352">
      <w:pPr>
        <w:spacing w:line="360" w:lineRule="auto"/>
        <w:rPr>
          <w:rFonts w:ascii="Calibri" w:eastAsia="宋体" w:hAnsi="Calibri" w:hint="eastAsia"/>
          <w:sz w:val="24"/>
          <w:szCs w:val="24"/>
        </w:rPr>
      </w:pPr>
      <w:r w:rsidRPr="00B627D3">
        <w:rPr>
          <w:rFonts w:ascii="Calibri" w:eastAsia="宋体" w:hAnsi="Calibri" w:hint="eastAsia"/>
          <w:sz w:val="24"/>
          <w:szCs w:val="24"/>
        </w:rPr>
        <w:t>第六章附則</w:t>
      </w:r>
    </w:p>
    <w:p w14:paraId="229737ED" w14:textId="77777777" w:rsidR="005E0352" w:rsidRPr="00B627D3" w:rsidRDefault="005E0352" w:rsidP="005E0352">
      <w:pPr>
        <w:spacing w:line="360" w:lineRule="auto"/>
        <w:rPr>
          <w:rFonts w:ascii="Calibri" w:eastAsia="宋体" w:hAnsi="Calibri"/>
          <w:sz w:val="24"/>
          <w:szCs w:val="24"/>
          <w:lang w:eastAsia="zh-CN"/>
        </w:rPr>
      </w:pPr>
      <w:r w:rsidRPr="00B627D3">
        <w:rPr>
          <w:rFonts w:ascii="Calibri" w:eastAsia="宋体" w:hAnsi="Calibri" w:hint="eastAsia"/>
          <w:sz w:val="24"/>
          <w:szCs w:val="24"/>
        </w:rPr>
        <w:t>第</w:t>
      </w:r>
      <w:r w:rsidRPr="00B627D3">
        <w:rPr>
          <w:rFonts w:ascii="Calibri" w:eastAsia="宋体" w:hAnsi="Calibri" w:hint="eastAsia"/>
          <w:sz w:val="24"/>
          <w:szCs w:val="24"/>
        </w:rPr>
        <w:t>38</w:t>
      </w:r>
      <w:r w:rsidRPr="00B627D3">
        <w:rPr>
          <w:rFonts w:ascii="Calibri" w:eastAsia="宋体" w:hAnsi="Calibri" w:hint="eastAsia"/>
          <w:sz w:val="24"/>
          <w:szCs w:val="24"/>
        </w:rPr>
        <w:t>条本法は</w:t>
      </w:r>
      <w:r w:rsidRPr="00B627D3">
        <w:rPr>
          <w:rFonts w:ascii="Calibri" w:eastAsia="宋体" w:hAnsi="Calibri" w:hint="eastAsia"/>
          <w:sz w:val="24"/>
          <w:szCs w:val="24"/>
        </w:rPr>
        <w:t>2026</w:t>
      </w:r>
      <w:r w:rsidRPr="00B627D3">
        <w:rPr>
          <w:rFonts w:ascii="Calibri" w:eastAsia="宋体" w:hAnsi="Calibri" w:hint="eastAsia"/>
          <w:sz w:val="24"/>
          <w:szCs w:val="24"/>
        </w:rPr>
        <w:t>年</w:t>
      </w:r>
      <w:r w:rsidRPr="00B627D3">
        <w:rPr>
          <w:rFonts w:ascii="Calibri" w:eastAsia="宋体" w:hAnsi="Calibri" w:hint="eastAsia"/>
          <w:sz w:val="24"/>
          <w:szCs w:val="24"/>
        </w:rPr>
        <w:t>1</w:t>
      </w:r>
      <w:r w:rsidRPr="00B627D3">
        <w:rPr>
          <w:rFonts w:ascii="Calibri" w:eastAsia="宋体" w:hAnsi="Calibri" w:hint="eastAsia"/>
          <w:sz w:val="24"/>
          <w:szCs w:val="24"/>
        </w:rPr>
        <w:t>月</w:t>
      </w:r>
      <w:r w:rsidRPr="00B627D3">
        <w:rPr>
          <w:rFonts w:ascii="Calibri" w:eastAsia="宋体" w:hAnsi="Calibri" w:hint="eastAsia"/>
          <w:sz w:val="24"/>
          <w:szCs w:val="24"/>
        </w:rPr>
        <w:t>1</w:t>
      </w:r>
      <w:r w:rsidRPr="00B627D3">
        <w:rPr>
          <w:rFonts w:ascii="Calibri" w:eastAsia="宋体" w:hAnsi="Calibri" w:hint="eastAsia"/>
          <w:sz w:val="24"/>
          <w:szCs w:val="24"/>
        </w:rPr>
        <w:t>日から施行する。「中華人民共和国付加価値税暫定条例」は同時に廃止された。</w:t>
      </w:r>
    </w:p>
    <w:p w14:paraId="7C0E8193" w14:textId="77777777" w:rsidR="005E0352" w:rsidRPr="00B627D3" w:rsidRDefault="005E0352" w:rsidP="005E0352">
      <w:pPr>
        <w:spacing w:line="360" w:lineRule="auto"/>
        <w:rPr>
          <w:rFonts w:ascii="Calibri" w:eastAsia="宋体" w:hAnsi="Calibri"/>
          <w:sz w:val="24"/>
          <w:szCs w:val="24"/>
          <w:lang w:eastAsia="zh-CN"/>
        </w:rPr>
      </w:pPr>
    </w:p>
    <w:bookmarkEnd w:id="0"/>
    <w:p w14:paraId="4DBFE7FD" w14:textId="675E247A" w:rsidR="001F3EF2" w:rsidRPr="00B627D3" w:rsidRDefault="004118A4" w:rsidP="00F90B29">
      <w:pPr>
        <w:spacing w:beforeLines="50" w:before="156" w:afterLines="50" w:after="156" w:line="360" w:lineRule="auto"/>
        <w:rPr>
          <w:rFonts w:asciiTheme="minorEastAsia" w:hAnsiTheme="minorEastAsia" w:cs="宋体" w:hint="eastAsia"/>
          <w:sz w:val="24"/>
          <w:szCs w:val="24"/>
        </w:rPr>
      </w:pPr>
      <w:r w:rsidRPr="00B627D3">
        <w:rPr>
          <w:rFonts w:asciiTheme="minorEastAsia" w:eastAsiaTheme="minorEastAsia" w:hAnsiTheme="minorEastAsia" w:cs="宋体" w:hint="eastAsia"/>
          <w:sz w:val="24"/>
          <w:szCs w:val="24"/>
        </w:rPr>
        <w:t>本法は2026年1月1日から</w:t>
      </w:r>
      <w:r w:rsidRPr="00B627D3">
        <w:rPr>
          <w:rFonts w:ascii="MS Mincho" w:hAnsi="MS Mincho" w:cs="宋体" w:hint="eastAsia"/>
          <w:sz w:val="24"/>
          <w:szCs w:val="24"/>
        </w:rPr>
        <w:t>実施</w:t>
      </w:r>
      <w:r w:rsidRPr="00B627D3">
        <w:rPr>
          <w:rFonts w:asciiTheme="minorEastAsia" w:eastAsiaTheme="minorEastAsia" w:hAnsiTheme="minorEastAsia" w:cs="宋体" w:hint="eastAsia"/>
          <w:sz w:val="24"/>
          <w:szCs w:val="24"/>
        </w:rPr>
        <w:t>され</w:t>
      </w:r>
      <w:r w:rsidRPr="00B627D3">
        <w:rPr>
          <w:rFonts w:ascii="MS Mincho" w:hAnsi="MS Mincho" w:cs="宋体" w:hint="eastAsia"/>
          <w:sz w:val="24"/>
          <w:szCs w:val="24"/>
        </w:rPr>
        <w:t>ます。</w:t>
      </w:r>
    </w:p>
    <w:sectPr w:rsidR="001F3EF2" w:rsidRPr="00B627D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C005" w14:textId="77777777" w:rsidR="00644C52" w:rsidRDefault="00644C52">
      <w:r>
        <w:separator/>
      </w:r>
    </w:p>
  </w:endnote>
  <w:endnote w:type="continuationSeparator" w:id="0">
    <w:p w14:paraId="086D58D3" w14:textId="77777777" w:rsidR="00644C52" w:rsidRDefault="0064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01D1" w14:textId="77777777" w:rsidR="0002320B" w:rsidRDefault="0002320B">
    <w:pPr>
      <w:pStyle w:val="a7"/>
    </w:pPr>
    <w:r>
      <w:rPr>
        <w:noProof/>
        <w:lang w:eastAsia="zh-CN"/>
      </w:rPr>
      <mc:AlternateContent>
        <mc:Choice Requires="wps">
          <w:drawing>
            <wp:anchor distT="0" distB="0" distL="114300" distR="114300" simplePos="0" relativeHeight="251659264" behindDoc="0" locked="0" layoutInCell="1" allowOverlap="1" wp14:anchorId="365C63DE" wp14:editId="1170195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87C77D" w14:textId="77777777" w:rsidR="0002320B" w:rsidRDefault="0002320B">
                          <w:pPr>
                            <w:pStyle w:val="a7"/>
                          </w:pPr>
                          <w:r>
                            <w:fldChar w:fldCharType="begin"/>
                          </w:r>
                          <w:r>
                            <w:instrText xml:space="preserve"> PAGE  \* MERGEFORMAT </w:instrText>
                          </w:r>
                          <w:r>
                            <w:fldChar w:fldCharType="separate"/>
                          </w:r>
                          <w:r w:rsidR="00DE1F0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5C63D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487C77D" w14:textId="77777777" w:rsidR="0002320B" w:rsidRDefault="0002320B">
                    <w:pPr>
                      <w:pStyle w:val="a7"/>
                    </w:pPr>
                    <w:r>
                      <w:fldChar w:fldCharType="begin"/>
                    </w:r>
                    <w:r>
                      <w:instrText xml:space="preserve"> PAGE  \* MERGEFORMAT </w:instrText>
                    </w:r>
                    <w:r>
                      <w:fldChar w:fldCharType="separate"/>
                    </w:r>
                    <w:r w:rsidR="00DE1F0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F985" w14:textId="77777777" w:rsidR="00644C52" w:rsidRDefault="00644C52">
      <w:r>
        <w:separator/>
      </w:r>
    </w:p>
  </w:footnote>
  <w:footnote w:type="continuationSeparator" w:id="0">
    <w:p w14:paraId="148A5786" w14:textId="77777777" w:rsidR="00644C52" w:rsidRDefault="00644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C6014"/>
    <w:multiLevelType w:val="hybridMultilevel"/>
    <w:tmpl w:val="7F4602A4"/>
    <w:lvl w:ilvl="0" w:tplc="788C36AA">
      <w:start w:val="1"/>
      <w:numFmt w:val="decimal"/>
      <w:lvlText w:val="%1."/>
      <w:lvlJc w:val="left"/>
      <w:pPr>
        <w:ind w:left="730" w:hanging="360"/>
      </w:pPr>
      <w:rPr>
        <w:rFonts w:eastAsia="微软雅黑" w:hint="default"/>
      </w:rPr>
    </w:lvl>
    <w:lvl w:ilvl="1" w:tplc="04090019" w:tentative="1">
      <w:start w:val="1"/>
      <w:numFmt w:val="lowerLetter"/>
      <w:lvlText w:val="%2)"/>
      <w:lvlJc w:val="left"/>
      <w:pPr>
        <w:ind w:left="1250" w:hanging="440"/>
      </w:pPr>
    </w:lvl>
    <w:lvl w:ilvl="2" w:tplc="0409001B" w:tentative="1">
      <w:start w:val="1"/>
      <w:numFmt w:val="lowerRoman"/>
      <w:lvlText w:val="%3."/>
      <w:lvlJc w:val="right"/>
      <w:pPr>
        <w:ind w:left="1690" w:hanging="440"/>
      </w:pPr>
    </w:lvl>
    <w:lvl w:ilvl="3" w:tplc="0409000F" w:tentative="1">
      <w:start w:val="1"/>
      <w:numFmt w:val="decimal"/>
      <w:lvlText w:val="%4."/>
      <w:lvlJc w:val="left"/>
      <w:pPr>
        <w:ind w:left="2130" w:hanging="440"/>
      </w:pPr>
    </w:lvl>
    <w:lvl w:ilvl="4" w:tplc="04090019" w:tentative="1">
      <w:start w:val="1"/>
      <w:numFmt w:val="lowerLetter"/>
      <w:lvlText w:val="%5)"/>
      <w:lvlJc w:val="left"/>
      <w:pPr>
        <w:ind w:left="2570" w:hanging="440"/>
      </w:pPr>
    </w:lvl>
    <w:lvl w:ilvl="5" w:tplc="0409001B" w:tentative="1">
      <w:start w:val="1"/>
      <w:numFmt w:val="lowerRoman"/>
      <w:lvlText w:val="%6."/>
      <w:lvlJc w:val="right"/>
      <w:pPr>
        <w:ind w:left="3010" w:hanging="440"/>
      </w:pPr>
    </w:lvl>
    <w:lvl w:ilvl="6" w:tplc="0409000F" w:tentative="1">
      <w:start w:val="1"/>
      <w:numFmt w:val="decimal"/>
      <w:lvlText w:val="%7."/>
      <w:lvlJc w:val="left"/>
      <w:pPr>
        <w:ind w:left="3450" w:hanging="440"/>
      </w:pPr>
    </w:lvl>
    <w:lvl w:ilvl="7" w:tplc="04090019" w:tentative="1">
      <w:start w:val="1"/>
      <w:numFmt w:val="lowerLetter"/>
      <w:lvlText w:val="%8)"/>
      <w:lvlJc w:val="left"/>
      <w:pPr>
        <w:ind w:left="3890" w:hanging="440"/>
      </w:pPr>
    </w:lvl>
    <w:lvl w:ilvl="8" w:tplc="0409001B" w:tentative="1">
      <w:start w:val="1"/>
      <w:numFmt w:val="lowerRoman"/>
      <w:lvlText w:val="%9."/>
      <w:lvlJc w:val="right"/>
      <w:pPr>
        <w:ind w:left="4330" w:hanging="440"/>
      </w:pPr>
    </w:lvl>
  </w:abstractNum>
  <w:abstractNum w:abstractNumId="1" w15:restartNumberingAfterBreak="0">
    <w:nsid w:val="2B11779A"/>
    <w:multiLevelType w:val="hybridMultilevel"/>
    <w:tmpl w:val="A7A617E8"/>
    <w:lvl w:ilvl="0" w:tplc="F95A8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200C36"/>
    <w:multiLevelType w:val="hybridMultilevel"/>
    <w:tmpl w:val="9C1A1F16"/>
    <w:lvl w:ilvl="0" w:tplc="E496CF34">
      <w:start w:val="1"/>
      <w:numFmt w:val="decimal"/>
      <w:lvlText w:val="（%1）"/>
      <w:lvlJc w:val="left"/>
      <w:pPr>
        <w:ind w:left="1200" w:hanging="720"/>
      </w:pPr>
      <w:rPr>
        <w:rFonts w:cs="Times New Roman" w:hint="default"/>
        <w:sz w:val="2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DCA490A"/>
    <w:multiLevelType w:val="hybridMultilevel"/>
    <w:tmpl w:val="D0EC7B9C"/>
    <w:lvl w:ilvl="0" w:tplc="FBA6C7B4">
      <w:start w:val="1"/>
      <w:numFmt w:val="decimal"/>
      <w:lvlText w:val="%1、"/>
      <w:lvlJc w:val="left"/>
      <w:pPr>
        <w:ind w:left="360" w:hanging="360"/>
      </w:pPr>
      <w:rPr>
        <w:rFonts w:asciiTheme="minorEastAsia" w:eastAsiaTheme="minorEastAsia" w:hAnsiTheme="minorEastAsia"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AAA970"/>
    <w:multiLevelType w:val="singleLevel"/>
    <w:tmpl w:val="6DAAA970"/>
    <w:lvl w:ilvl="0">
      <w:start w:val="1"/>
      <w:numFmt w:val="chineseCounting"/>
      <w:suff w:val="nothing"/>
      <w:lvlText w:val="%1、"/>
      <w:lvlJc w:val="left"/>
      <w:rPr>
        <w:rFonts w:hint="eastAsia"/>
      </w:rPr>
    </w:lvl>
  </w:abstractNum>
  <w:abstractNum w:abstractNumId="5" w15:restartNumberingAfterBreak="0">
    <w:nsid w:val="7E7E0023"/>
    <w:multiLevelType w:val="hybridMultilevel"/>
    <w:tmpl w:val="EB5E22C2"/>
    <w:lvl w:ilvl="0" w:tplc="07FA601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28100368">
    <w:abstractNumId w:val="4"/>
  </w:num>
  <w:num w:numId="2" w16cid:durableId="1343052197">
    <w:abstractNumId w:val="1"/>
  </w:num>
  <w:num w:numId="3" w16cid:durableId="1001549105">
    <w:abstractNumId w:val="2"/>
  </w:num>
  <w:num w:numId="4" w16cid:durableId="1822383902">
    <w:abstractNumId w:val="5"/>
  </w:num>
  <w:num w:numId="5" w16cid:durableId="1793787613">
    <w:abstractNumId w:val="3"/>
  </w:num>
  <w:num w:numId="6" w16cid:durableId="11668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71"/>
    <w:rsid w:val="00001C1B"/>
    <w:rsid w:val="000103C8"/>
    <w:rsid w:val="0002320B"/>
    <w:rsid w:val="00024629"/>
    <w:rsid w:val="000276B5"/>
    <w:rsid w:val="00054795"/>
    <w:rsid w:val="000616DE"/>
    <w:rsid w:val="00061FF7"/>
    <w:rsid w:val="000632E4"/>
    <w:rsid w:val="000704E7"/>
    <w:rsid w:val="00070FD9"/>
    <w:rsid w:val="00080D47"/>
    <w:rsid w:val="0009334F"/>
    <w:rsid w:val="000A32DF"/>
    <w:rsid w:val="000E214E"/>
    <w:rsid w:val="000F6488"/>
    <w:rsid w:val="001001BF"/>
    <w:rsid w:val="00105498"/>
    <w:rsid w:val="00105C6E"/>
    <w:rsid w:val="00105CB7"/>
    <w:rsid w:val="00107A2B"/>
    <w:rsid w:val="0011415B"/>
    <w:rsid w:val="00125C4A"/>
    <w:rsid w:val="00146BA4"/>
    <w:rsid w:val="00151129"/>
    <w:rsid w:val="00152705"/>
    <w:rsid w:val="00157BA8"/>
    <w:rsid w:val="00174DA0"/>
    <w:rsid w:val="00184B4C"/>
    <w:rsid w:val="00184CAE"/>
    <w:rsid w:val="00192613"/>
    <w:rsid w:val="00197996"/>
    <w:rsid w:val="001A2D25"/>
    <w:rsid w:val="001B1E9A"/>
    <w:rsid w:val="001B6A30"/>
    <w:rsid w:val="001C00B8"/>
    <w:rsid w:val="001C03DB"/>
    <w:rsid w:val="001C6E5D"/>
    <w:rsid w:val="001D6A46"/>
    <w:rsid w:val="001E46CC"/>
    <w:rsid w:val="001F3EF2"/>
    <w:rsid w:val="001F6EC5"/>
    <w:rsid w:val="00243CC9"/>
    <w:rsid w:val="00245C61"/>
    <w:rsid w:val="00275AF7"/>
    <w:rsid w:val="00280356"/>
    <w:rsid w:val="00280C84"/>
    <w:rsid w:val="00282AD9"/>
    <w:rsid w:val="00292FB4"/>
    <w:rsid w:val="00293B8F"/>
    <w:rsid w:val="002A2115"/>
    <w:rsid w:val="002B17AE"/>
    <w:rsid w:val="002B6616"/>
    <w:rsid w:val="002C2798"/>
    <w:rsid w:val="002D0379"/>
    <w:rsid w:val="002E0747"/>
    <w:rsid w:val="002E67DC"/>
    <w:rsid w:val="002F36F2"/>
    <w:rsid w:val="002F62B3"/>
    <w:rsid w:val="00302F49"/>
    <w:rsid w:val="00303040"/>
    <w:rsid w:val="00304AC9"/>
    <w:rsid w:val="00312518"/>
    <w:rsid w:val="00312A12"/>
    <w:rsid w:val="0031541D"/>
    <w:rsid w:val="0031554D"/>
    <w:rsid w:val="00326A4D"/>
    <w:rsid w:val="003327EF"/>
    <w:rsid w:val="00332BA6"/>
    <w:rsid w:val="003425C9"/>
    <w:rsid w:val="00344177"/>
    <w:rsid w:val="003632EB"/>
    <w:rsid w:val="00364E75"/>
    <w:rsid w:val="00393D7E"/>
    <w:rsid w:val="003A466F"/>
    <w:rsid w:val="003A475F"/>
    <w:rsid w:val="003A6C85"/>
    <w:rsid w:val="003C2C17"/>
    <w:rsid w:val="003C5E7A"/>
    <w:rsid w:val="003E4B7C"/>
    <w:rsid w:val="003E7971"/>
    <w:rsid w:val="003F40D3"/>
    <w:rsid w:val="00405C54"/>
    <w:rsid w:val="004103BD"/>
    <w:rsid w:val="004118A4"/>
    <w:rsid w:val="004227D7"/>
    <w:rsid w:val="00424EFE"/>
    <w:rsid w:val="00441B75"/>
    <w:rsid w:val="004639D9"/>
    <w:rsid w:val="0047485A"/>
    <w:rsid w:val="00480B9B"/>
    <w:rsid w:val="00480BB7"/>
    <w:rsid w:val="0048103A"/>
    <w:rsid w:val="004C2001"/>
    <w:rsid w:val="004C7CEF"/>
    <w:rsid w:val="004D46B5"/>
    <w:rsid w:val="004D5513"/>
    <w:rsid w:val="004D75BC"/>
    <w:rsid w:val="004F0E2F"/>
    <w:rsid w:val="004F3C5E"/>
    <w:rsid w:val="00510E63"/>
    <w:rsid w:val="00522D8C"/>
    <w:rsid w:val="00535720"/>
    <w:rsid w:val="00537548"/>
    <w:rsid w:val="00544919"/>
    <w:rsid w:val="00551CAC"/>
    <w:rsid w:val="00551F08"/>
    <w:rsid w:val="0056749D"/>
    <w:rsid w:val="00582693"/>
    <w:rsid w:val="0058680A"/>
    <w:rsid w:val="005970B9"/>
    <w:rsid w:val="005A28A4"/>
    <w:rsid w:val="005B3B81"/>
    <w:rsid w:val="005C259F"/>
    <w:rsid w:val="005C345A"/>
    <w:rsid w:val="005C5EC8"/>
    <w:rsid w:val="005C7319"/>
    <w:rsid w:val="005D5A2B"/>
    <w:rsid w:val="005D5D95"/>
    <w:rsid w:val="005E0352"/>
    <w:rsid w:val="005E03FF"/>
    <w:rsid w:val="005E7C21"/>
    <w:rsid w:val="005F6D71"/>
    <w:rsid w:val="005F7C13"/>
    <w:rsid w:val="00601441"/>
    <w:rsid w:val="006044E4"/>
    <w:rsid w:val="00610610"/>
    <w:rsid w:val="00615FDF"/>
    <w:rsid w:val="00620D29"/>
    <w:rsid w:val="0062250A"/>
    <w:rsid w:val="00622A52"/>
    <w:rsid w:val="00626F75"/>
    <w:rsid w:val="0063488C"/>
    <w:rsid w:val="00644C52"/>
    <w:rsid w:val="0065201D"/>
    <w:rsid w:val="00666DA4"/>
    <w:rsid w:val="00667A67"/>
    <w:rsid w:val="00671BC9"/>
    <w:rsid w:val="00676B7E"/>
    <w:rsid w:val="0068451C"/>
    <w:rsid w:val="006C3874"/>
    <w:rsid w:val="006E6A71"/>
    <w:rsid w:val="006F4EB5"/>
    <w:rsid w:val="006F6A04"/>
    <w:rsid w:val="00700833"/>
    <w:rsid w:val="00721845"/>
    <w:rsid w:val="00723690"/>
    <w:rsid w:val="00723A87"/>
    <w:rsid w:val="007276EF"/>
    <w:rsid w:val="007277C8"/>
    <w:rsid w:val="007324AC"/>
    <w:rsid w:val="0074636C"/>
    <w:rsid w:val="007A557C"/>
    <w:rsid w:val="007A7F20"/>
    <w:rsid w:val="007C6F13"/>
    <w:rsid w:val="007D1584"/>
    <w:rsid w:val="007D7142"/>
    <w:rsid w:val="007F3168"/>
    <w:rsid w:val="00802467"/>
    <w:rsid w:val="00804177"/>
    <w:rsid w:val="00807D48"/>
    <w:rsid w:val="008119FC"/>
    <w:rsid w:val="00814B99"/>
    <w:rsid w:val="00815920"/>
    <w:rsid w:val="00815E30"/>
    <w:rsid w:val="008328EC"/>
    <w:rsid w:val="008424B7"/>
    <w:rsid w:val="00856AC8"/>
    <w:rsid w:val="00856B56"/>
    <w:rsid w:val="008573EA"/>
    <w:rsid w:val="00863FCB"/>
    <w:rsid w:val="00873BEB"/>
    <w:rsid w:val="00887D96"/>
    <w:rsid w:val="008956A8"/>
    <w:rsid w:val="008A4CB6"/>
    <w:rsid w:val="008B15A0"/>
    <w:rsid w:val="008F23C1"/>
    <w:rsid w:val="0090039C"/>
    <w:rsid w:val="009027DA"/>
    <w:rsid w:val="00913B0D"/>
    <w:rsid w:val="00915560"/>
    <w:rsid w:val="00920045"/>
    <w:rsid w:val="0092362A"/>
    <w:rsid w:val="009245B7"/>
    <w:rsid w:val="009338C4"/>
    <w:rsid w:val="00934983"/>
    <w:rsid w:val="009415D2"/>
    <w:rsid w:val="00941F2B"/>
    <w:rsid w:val="00942A2D"/>
    <w:rsid w:val="0094338D"/>
    <w:rsid w:val="00943A8F"/>
    <w:rsid w:val="00944125"/>
    <w:rsid w:val="00944E55"/>
    <w:rsid w:val="009510C6"/>
    <w:rsid w:val="00962A09"/>
    <w:rsid w:val="00965755"/>
    <w:rsid w:val="009757F1"/>
    <w:rsid w:val="009773D2"/>
    <w:rsid w:val="0099128B"/>
    <w:rsid w:val="009A7C9F"/>
    <w:rsid w:val="009B231B"/>
    <w:rsid w:val="009C54CC"/>
    <w:rsid w:val="009C5887"/>
    <w:rsid w:val="009D03DE"/>
    <w:rsid w:val="009D4018"/>
    <w:rsid w:val="009E12A8"/>
    <w:rsid w:val="009F74A3"/>
    <w:rsid w:val="00A02EC7"/>
    <w:rsid w:val="00A14E66"/>
    <w:rsid w:val="00A166F4"/>
    <w:rsid w:val="00A349EA"/>
    <w:rsid w:val="00A46303"/>
    <w:rsid w:val="00A51526"/>
    <w:rsid w:val="00A52DF5"/>
    <w:rsid w:val="00A57D5C"/>
    <w:rsid w:val="00A73C7D"/>
    <w:rsid w:val="00A747AF"/>
    <w:rsid w:val="00A869D2"/>
    <w:rsid w:val="00A930D6"/>
    <w:rsid w:val="00A937F8"/>
    <w:rsid w:val="00AB1FFE"/>
    <w:rsid w:val="00AB2BBD"/>
    <w:rsid w:val="00AB5B2F"/>
    <w:rsid w:val="00AB5F4F"/>
    <w:rsid w:val="00AC056A"/>
    <w:rsid w:val="00AC2D4B"/>
    <w:rsid w:val="00AC756A"/>
    <w:rsid w:val="00AD2E30"/>
    <w:rsid w:val="00AD6AB7"/>
    <w:rsid w:val="00B02AF7"/>
    <w:rsid w:val="00B03B21"/>
    <w:rsid w:val="00B07121"/>
    <w:rsid w:val="00B34A32"/>
    <w:rsid w:val="00B36E58"/>
    <w:rsid w:val="00B378B9"/>
    <w:rsid w:val="00B4693C"/>
    <w:rsid w:val="00B47F48"/>
    <w:rsid w:val="00B55A5F"/>
    <w:rsid w:val="00B627D3"/>
    <w:rsid w:val="00B90624"/>
    <w:rsid w:val="00BA5A09"/>
    <w:rsid w:val="00BD008A"/>
    <w:rsid w:val="00BD1AD4"/>
    <w:rsid w:val="00BD5444"/>
    <w:rsid w:val="00BD76B3"/>
    <w:rsid w:val="00BE0291"/>
    <w:rsid w:val="00BE08A0"/>
    <w:rsid w:val="00C01FF6"/>
    <w:rsid w:val="00C02462"/>
    <w:rsid w:val="00C069A1"/>
    <w:rsid w:val="00C1325C"/>
    <w:rsid w:val="00C17026"/>
    <w:rsid w:val="00C24A7E"/>
    <w:rsid w:val="00C37543"/>
    <w:rsid w:val="00C5335F"/>
    <w:rsid w:val="00C55031"/>
    <w:rsid w:val="00C56C0A"/>
    <w:rsid w:val="00C57856"/>
    <w:rsid w:val="00C717A5"/>
    <w:rsid w:val="00C71BC2"/>
    <w:rsid w:val="00C7208A"/>
    <w:rsid w:val="00C7237D"/>
    <w:rsid w:val="00C844CD"/>
    <w:rsid w:val="00C94BBB"/>
    <w:rsid w:val="00C96827"/>
    <w:rsid w:val="00CA508B"/>
    <w:rsid w:val="00CB23D2"/>
    <w:rsid w:val="00CB6C94"/>
    <w:rsid w:val="00CB6CEA"/>
    <w:rsid w:val="00CC07CF"/>
    <w:rsid w:val="00CE4BFC"/>
    <w:rsid w:val="00D11EF4"/>
    <w:rsid w:val="00D140E0"/>
    <w:rsid w:val="00D37664"/>
    <w:rsid w:val="00D45843"/>
    <w:rsid w:val="00D506BD"/>
    <w:rsid w:val="00D614C8"/>
    <w:rsid w:val="00D761FE"/>
    <w:rsid w:val="00D77467"/>
    <w:rsid w:val="00D9647D"/>
    <w:rsid w:val="00DA0FFC"/>
    <w:rsid w:val="00DB1F4D"/>
    <w:rsid w:val="00DC3A12"/>
    <w:rsid w:val="00DD5F5E"/>
    <w:rsid w:val="00DD6848"/>
    <w:rsid w:val="00DE1F0B"/>
    <w:rsid w:val="00DE204A"/>
    <w:rsid w:val="00DE2548"/>
    <w:rsid w:val="00DE7722"/>
    <w:rsid w:val="00DE78EA"/>
    <w:rsid w:val="00DF09C2"/>
    <w:rsid w:val="00DF5AEC"/>
    <w:rsid w:val="00E01A50"/>
    <w:rsid w:val="00E01A70"/>
    <w:rsid w:val="00E21EB7"/>
    <w:rsid w:val="00E2758E"/>
    <w:rsid w:val="00E305A9"/>
    <w:rsid w:val="00E43574"/>
    <w:rsid w:val="00E60FC3"/>
    <w:rsid w:val="00E63EAE"/>
    <w:rsid w:val="00E66A76"/>
    <w:rsid w:val="00E67FB7"/>
    <w:rsid w:val="00E84F60"/>
    <w:rsid w:val="00EA4BDE"/>
    <w:rsid w:val="00EB23C6"/>
    <w:rsid w:val="00EB5BBF"/>
    <w:rsid w:val="00EB6C40"/>
    <w:rsid w:val="00EB7FC3"/>
    <w:rsid w:val="00EC1DC5"/>
    <w:rsid w:val="00EC3513"/>
    <w:rsid w:val="00EC3735"/>
    <w:rsid w:val="00ED01B7"/>
    <w:rsid w:val="00EE00ED"/>
    <w:rsid w:val="00EE2FE9"/>
    <w:rsid w:val="00EE6B9D"/>
    <w:rsid w:val="00EF0374"/>
    <w:rsid w:val="00EF2B0A"/>
    <w:rsid w:val="00EF7384"/>
    <w:rsid w:val="00F07C0C"/>
    <w:rsid w:val="00F15059"/>
    <w:rsid w:val="00F204A4"/>
    <w:rsid w:val="00F22983"/>
    <w:rsid w:val="00F406C5"/>
    <w:rsid w:val="00F4114C"/>
    <w:rsid w:val="00F436C4"/>
    <w:rsid w:val="00F54DBF"/>
    <w:rsid w:val="00F56A48"/>
    <w:rsid w:val="00F62342"/>
    <w:rsid w:val="00F65D7A"/>
    <w:rsid w:val="00F80E89"/>
    <w:rsid w:val="00F85F2A"/>
    <w:rsid w:val="00F90B29"/>
    <w:rsid w:val="00FA73A5"/>
    <w:rsid w:val="00FB598E"/>
    <w:rsid w:val="00FB6466"/>
    <w:rsid w:val="00FF432F"/>
    <w:rsid w:val="00FF7121"/>
    <w:rsid w:val="00FF7168"/>
    <w:rsid w:val="2B886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3CFA1C"/>
  <w15:docId w15:val="{7166C080-E7F0-4B8E-9DF2-6D8BB83A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E7A"/>
    <w:pPr>
      <w:widowControl w:val="0"/>
      <w:jc w:val="both"/>
    </w:pPr>
    <w:rPr>
      <w:rFonts w:ascii="Century" w:eastAsia="MS Mincho" w:hAnsi="Century" w:cs="Times New Roman"/>
      <w:kern w:val="2"/>
      <w:sz w:val="21"/>
      <w:lang w:eastAsia="ja-JP"/>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lang w:eastAsia="zh-CN"/>
    </w:rPr>
  </w:style>
  <w:style w:type="paragraph" w:styleId="3">
    <w:name w:val="heading 3"/>
    <w:basedOn w:val="a"/>
    <w:next w:val="a"/>
    <w:link w:val="30"/>
    <w:uiPriority w:val="9"/>
    <w:semiHidden/>
    <w:unhideWhenUsed/>
    <w:qFormat/>
    <w:rsid w:val="005970B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qFormat/>
    <w:pPr>
      <w:tabs>
        <w:tab w:val="center" w:pos="4252"/>
        <w:tab w:val="right" w:pos="8504"/>
      </w:tabs>
      <w:snapToGrid w:val="0"/>
    </w:pPr>
    <w:rPr>
      <w:rFonts w:asciiTheme="minorHAnsi" w:eastAsiaTheme="minorEastAsia" w:hAnsiTheme="minorHAnsi" w:cstheme="minorBidi"/>
      <w:szCs w:val="22"/>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lang w:eastAsia="zh-CN"/>
    </w:rPr>
  </w:style>
  <w:style w:type="character" w:styleId="ac">
    <w:name w:val="Strong"/>
    <w:basedOn w:val="a0"/>
    <w:uiPriority w:val="22"/>
    <w:qFormat/>
    <w:rPr>
      <w:b/>
      <w:bCs/>
    </w:rPr>
  </w:style>
  <w:style w:type="character" w:styleId="ad">
    <w:name w:val="Hyperlink"/>
    <w:basedOn w:val="a0"/>
    <w:uiPriority w:val="99"/>
    <w:unhideWhenUsed/>
    <w:rPr>
      <w:color w:val="0563C1" w:themeColor="hyperlink"/>
      <w:u w:val="single"/>
    </w:rPr>
  </w:style>
  <w:style w:type="character" w:customStyle="1" w:styleId="aa">
    <w:name w:val="页眉 字符"/>
    <w:link w:val="a9"/>
    <w:rPr>
      <w:lang w:eastAsia="ja-JP"/>
    </w:rPr>
  </w:style>
  <w:style w:type="character" w:customStyle="1" w:styleId="Char1">
    <w:name w:val="页眉 Char1"/>
    <w:basedOn w:val="a0"/>
    <w:uiPriority w:val="99"/>
    <w:semiHidden/>
    <w:qFormat/>
    <w:rPr>
      <w:rFonts w:ascii="Century" w:eastAsia="MS Mincho" w:hAnsi="Century" w:cs="Times New Roman"/>
      <w:sz w:val="18"/>
      <w:szCs w:val="18"/>
      <w:lang w:eastAsia="ja-JP"/>
    </w:rPr>
  </w:style>
  <w:style w:type="paragraph" w:styleId="ae">
    <w:name w:val="List Paragraph"/>
    <w:basedOn w:val="a"/>
    <w:uiPriority w:val="34"/>
    <w:qFormat/>
    <w:pPr>
      <w:ind w:firstLineChars="200" w:firstLine="420"/>
    </w:pPr>
  </w:style>
  <w:style w:type="character" w:customStyle="1" w:styleId="a8">
    <w:name w:val="页脚 字符"/>
    <w:basedOn w:val="a0"/>
    <w:link w:val="a7"/>
    <w:uiPriority w:val="99"/>
    <w:rPr>
      <w:rFonts w:ascii="Century" w:eastAsia="MS Mincho" w:hAnsi="Century" w:cs="Times New Roman"/>
      <w:sz w:val="18"/>
      <w:szCs w:val="18"/>
      <w:lang w:eastAsia="ja-JP"/>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4">
    <w:name w:val="日期 字符"/>
    <w:basedOn w:val="a0"/>
    <w:link w:val="a3"/>
    <w:uiPriority w:val="99"/>
    <w:semiHidden/>
    <w:qFormat/>
    <w:rPr>
      <w:rFonts w:ascii="Century" w:eastAsia="MS Mincho" w:hAnsi="Century" w:cs="Times New Roman"/>
      <w:szCs w:val="20"/>
      <w:lang w:eastAsia="ja-JP"/>
    </w:rPr>
  </w:style>
  <w:style w:type="character" w:customStyle="1" w:styleId="10">
    <w:name w:val="标题 1 字符"/>
    <w:basedOn w:val="a0"/>
    <w:link w:val="1"/>
    <w:uiPriority w:val="9"/>
    <w:rPr>
      <w:rFonts w:ascii="Century" w:eastAsia="MS Mincho" w:hAnsi="Century" w:cs="Times New Roman"/>
      <w:b/>
      <w:bCs/>
      <w:kern w:val="44"/>
      <w:sz w:val="44"/>
      <w:szCs w:val="44"/>
      <w:lang w:eastAsia="ja-JP"/>
    </w:rPr>
  </w:style>
  <w:style w:type="character" w:customStyle="1" w:styleId="hao11">
    <w:name w:val="hao11"/>
    <w:basedOn w:val="a0"/>
    <w:rPr>
      <w:color w:val="DF0000"/>
      <w:sz w:val="24"/>
      <w:szCs w:val="24"/>
    </w:rPr>
  </w:style>
  <w:style w:type="character" w:customStyle="1" w:styleId="dhgao2">
    <w:name w:val="dhgao2"/>
    <w:basedOn w:val="a0"/>
  </w:style>
  <w:style w:type="character" w:customStyle="1" w:styleId="fontstyle01">
    <w:name w:val="fontstyle01"/>
    <w:basedOn w:val="a0"/>
    <w:rPr>
      <w:rFonts w:ascii="宋体" w:eastAsia="宋体" w:hAnsi="宋体" w:hint="eastAsia"/>
      <w:color w:val="333333"/>
      <w:sz w:val="22"/>
      <w:szCs w:val="22"/>
    </w:rPr>
  </w:style>
  <w:style w:type="character" w:customStyle="1" w:styleId="a6">
    <w:name w:val="批注框文本 字符"/>
    <w:basedOn w:val="a0"/>
    <w:link w:val="a5"/>
    <w:uiPriority w:val="99"/>
    <w:semiHidden/>
    <w:rPr>
      <w:rFonts w:ascii="Century" w:eastAsia="MS Mincho" w:hAnsi="Century" w:cs="Times New Roman"/>
      <w:sz w:val="18"/>
      <w:szCs w:val="18"/>
      <w:lang w:eastAsia="ja-JP"/>
    </w:rPr>
  </w:style>
  <w:style w:type="character" w:customStyle="1" w:styleId="laiyuan3">
    <w:name w:val="laiyuan3"/>
    <w:basedOn w:val="a0"/>
    <w:rsid w:val="00FB6466"/>
    <w:rPr>
      <w:color w:val="9A9791"/>
      <w:sz w:val="21"/>
      <w:szCs w:val="21"/>
    </w:rPr>
  </w:style>
  <w:style w:type="character" w:customStyle="1" w:styleId="hao1">
    <w:name w:val="hao1"/>
    <w:basedOn w:val="a0"/>
    <w:rsid w:val="00D140E0"/>
  </w:style>
  <w:style w:type="paragraph" w:customStyle="1" w:styleId="text">
    <w:name w:val="text"/>
    <w:basedOn w:val="a"/>
    <w:rsid w:val="0068451C"/>
    <w:pPr>
      <w:widowControl/>
      <w:spacing w:before="100" w:beforeAutospacing="1" w:after="100" w:afterAutospacing="1"/>
      <w:jc w:val="left"/>
    </w:pPr>
    <w:rPr>
      <w:rFonts w:ascii="宋体" w:eastAsia="宋体" w:hAnsi="宋体" w:cs="宋体"/>
      <w:kern w:val="0"/>
      <w:sz w:val="24"/>
      <w:szCs w:val="24"/>
      <w:lang w:eastAsia="zh-CN"/>
    </w:rPr>
  </w:style>
  <w:style w:type="character" w:customStyle="1" w:styleId="30">
    <w:name w:val="标题 3 字符"/>
    <w:basedOn w:val="a0"/>
    <w:link w:val="3"/>
    <w:uiPriority w:val="9"/>
    <w:semiHidden/>
    <w:rsid w:val="005970B9"/>
    <w:rPr>
      <w:rFonts w:ascii="Century" w:eastAsia="MS Mincho" w:hAnsi="Century" w:cs="Times New Roman"/>
      <w:b/>
      <w:bCs/>
      <w:kern w:val="2"/>
      <w:sz w:val="32"/>
      <w:szCs w:val="32"/>
      <w:lang w:eastAsia="ja-JP"/>
    </w:rPr>
  </w:style>
  <w:style w:type="character" w:styleId="af">
    <w:name w:val="Unresolved Mention"/>
    <w:basedOn w:val="a0"/>
    <w:uiPriority w:val="99"/>
    <w:semiHidden/>
    <w:unhideWhenUsed/>
    <w:rsid w:val="0059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234">
      <w:bodyDiv w:val="1"/>
      <w:marLeft w:val="0"/>
      <w:marRight w:val="0"/>
      <w:marTop w:val="0"/>
      <w:marBottom w:val="0"/>
      <w:divBdr>
        <w:top w:val="none" w:sz="0" w:space="0" w:color="auto"/>
        <w:left w:val="none" w:sz="0" w:space="0" w:color="auto"/>
        <w:bottom w:val="none" w:sz="0" w:space="0" w:color="auto"/>
        <w:right w:val="none" w:sz="0" w:space="0" w:color="auto"/>
      </w:divBdr>
    </w:div>
    <w:div w:id="192424080">
      <w:bodyDiv w:val="1"/>
      <w:marLeft w:val="0"/>
      <w:marRight w:val="0"/>
      <w:marTop w:val="0"/>
      <w:marBottom w:val="0"/>
      <w:divBdr>
        <w:top w:val="none" w:sz="0" w:space="0" w:color="auto"/>
        <w:left w:val="none" w:sz="0" w:space="0" w:color="auto"/>
        <w:bottom w:val="none" w:sz="0" w:space="0" w:color="auto"/>
        <w:right w:val="none" w:sz="0" w:space="0" w:color="auto"/>
      </w:divBdr>
    </w:div>
    <w:div w:id="204682395">
      <w:bodyDiv w:val="1"/>
      <w:marLeft w:val="0"/>
      <w:marRight w:val="0"/>
      <w:marTop w:val="0"/>
      <w:marBottom w:val="0"/>
      <w:divBdr>
        <w:top w:val="none" w:sz="0" w:space="0" w:color="auto"/>
        <w:left w:val="none" w:sz="0" w:space="0" w:color="auto"/>
        <w:bottom w:val="none" w:sz="0" w:space="0" w:color="auto"/>
        <w:right w:val="none" w:sz="0" w:space="0" w:color="auto"/>
      </w:divBdr>
      <w:divsChild>
        <w:div w:id="944070293">
          <w:marLeft w:val="0"/>
          <w:marRight w:val="0"/>
          <w:marTop w:val="100"/>
          <w:marBottom w:val="100"/>
          <w:divBdr>
            <w:top w:val="none" w:sz="0" w:space="0" w:color="auto"/>
            <w:left w:val="none" w:sz="0" w:space="0" w:color="auto"/>
            <w:bottom w:val="none" w:sz="0" w:space="0" w:color="auto"/>
            <w:right w:val="none" w:sz="0" w:space="0" w:color="auto"/>
          </w:divBdr>
          <w:divsChild>
            <w:div w:id="1574588430">
              <w:marLeft w:val="0"/>
              <w:marRight w:val="0"/>
              <w:marTop w:val="0"/>
              <w:marBottom w:val="0"/>
              <w:divBdr>
                <w:top w:val="single" w:sz="6" w:space="0" w:color="DEDCD8"/>
                <w:left w:val="single" w:sz="6" w:space="0" w:color="DEDCD8"/>
                <w:bottom w:val="single" w:sz="6" w:space="0" w:color="DEDCD8"/>
                <w:right w:val="single" w:sz="6" w:space="0" w:color="DEDCD8"/>
              </w:divBdr>
              <w:divsChild>
                <w:div w:id="9220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76585">
      <w:bodyDiv w:val="1"/>
      <w:marLeft w:val="0"/>
      <w:marRight w:val="0"/>
      <w:marTop w:val="0"/>
      <w:marBottom w:val="0"/>
      <w:divBdr>
        <w:top w:val="none" w:sz="0" w:space="0" w:color="auto"/>
        <w:left w:val="none" w:sz="0" w:space="0" w:color="auto"/>
        <w:bottom w:val="none" w:sz="0" w:space="0" w:color="auto"/>
        <w:right w:val="none" w:sz="0" w:space="0" w:color="auto"/>
      </w:divBdr>
      <w:divsChild>
        <w:div w:id="1251354167">
          <w:marLeft w:val="0"/>
          <w:marRight w:val="0"/>
          <w:marTop w:val="100"/>
          <w:marBottom w:val="100"/>
          <w:divBdr>
            <w:top w:val="none" w:sz="0" w:space="0" w:color="auto"/>
            <w:left w:val="none" w:sz="0" w:space="0" w:color="auto"/>
            <w:bottom w:val="none" w:sz="0" w:space="0" w:color="auto"/>
            <w:right w:val="none" w:sz="0" w:space="0" w:color="auto"/>
          </w:divBdr>
          <w:divsChild>
            <w:div w:id="307439807">
              <w:marLeft w:val="0"/>
              <w:marRight w:val="0"/>
              <w:marTop w:val="0"/>
              <w:marBottom w:val="0"/>
              <w:divBdr>
                <w:top w:val="single" w:sz="6" w:space="0" w:color="DEDCD8"/>
                <w:left w:val="single" w:sz="6" w:space="0" w:color="DEDCD8"/>
                <w:bottom w:val="single" w:sz="6" w:space="0" w:color="DEDCD8"/>
                <w:right w:val="single" w:sz="6" w:space="0" w:color="DEDCD8"/>
              </w:divBdr>
              <w:divsChild>
                <w:div w:id="1845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1060">
      <w:bodyDiv w:val="1"/>
      <w:marLeft w:val="0"/>
      <w:marRight w:val="0"/>
      <w:marTop w:val="0"/>
      <w:marBottom w:val="0"/>
      <w:divBdr>
        <w:top w:val="none" w:sz="0" w:space="0" w:color="auto"/>
        <w:left w:val="none" w:sz="0" w:space="0" w:color="auto"/>
        <w:bottom w:val="none" w:sz="0" w:space="0" w:color="auto"/>
        <w:right w:val="none" w:sz="0" w:space="0" w:color="auto"/>
      </w:divBdr>
    </w:div>
    <w:div w:id="344720561">
      <w:bodyDiv w:val="1"/>
      <w:marLeft w:val="0"/>
      <w:marRight w:val="0"/>
      <w:marTop w:val="0"/>
      <w:marBottom w:val="0"/>
      <w:divBdr>
        <w:top w:val="none" w:sz="0" w:space="0" w:color="auto"/>
        <w:left w:val="none" w:sz="0" w:space="0" w:color="auto"/>
        <w:bottom w:val="none" w:sz="0" w:space="0" w:color="auto"/>
        <w:right w:val="none" w:sz="0" w:space="0" w:color="auto"/>
      </w:divBdr>
      <w:divsChild>
        <w:div w:id="1636717474">
          <w:marLeft w:val="0"/>
          <w:marRight w:val="0"/>
          <w:marTop w:val="100"/>
          <w:marBottom w:val="100"/>
          <w:divBdr>
            <w:top w:val="none" w:sz="0" w:space="0" w:color="auto"/>
            <w:left w:val="none" w:sz="0" w:space="0" w:color="auto"/>
            <w:bottom w:val="none" w:sz="0" w:space="0" w:color="auto"/>
            <w:right w:val="none" w:sz="0" w:space="0" w:color="auto"/>
          </w:divBdr>
          <w:divsChild>
            <w:div w:id="534583337">
              <w:marLeft w:val="0"/>
              <w:marRight w:val="0"/>
              <w:marTop w:val="0"/>
              <w:marBottom w:val="0"/>
              <w:divBdr>
                <w:top w:val="single" w:sz="6" w:space="0" w:color="DEDCD8"/>
                <w:left w:val="single" w:sz="6" w:space="0" w:color="DEDCD8"/>
                <w:bottom w:val="single" w:sz="6" w:space="0" w:color="DEDCD8"/>
                <w:right w:val="single" w:sz="6" w:space="0" w:color="DEDCD8"/>
              </w:divBdr>
              <w:divsChild>
                <w:div w:id="7862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7075">
      <w:bodyDiv w:val="1"/>
      <w:marLeft w:val="0"/>
      <w:marRight w:val="0"/>
      <w:marTop w:val="0"/>
      <w:marBottom w:val="0"/>
      <w:divBdr>
        <w:top w:val="none" w:sz="0" w:space="0" w:color="auto"/>
        <w:left w:val="none" w:sz="0" w:space="0" w:color="auto"/>
        <w:bottom w:val="none" w:sz="0" w:space="0" w:color="auto"/>
        <w:right w:val="none" w:sz="0" w:space="0" w:color="auto"/>
      </w:divBdr>
      <w:divsChild>
        <w:div w:id="967511655">
          <w:marLeft w:val="0"/>
          <w:marRight w:val="0"/>
          <w:marTop w:val="100"/>
          <w:marBottom w:val="100"/>
          <w:divBdr>
            <w:top w:val="none" w:sz="0" w:space="0" w:color="auto"/>
            <w:left w:val="none" w:sz="0" w:space="0" w:color="auto"/>
            <w:bottom w:val="none" w:sz="0" w:space="0" w:color="auto"/>
            <w:right w:val="none" w:sz="0" w:space="0" w:color="auto"/>
          </w:divBdr>
          <w:divsChild>
            <w:div w:id="1337878677">
              <w:marLeft w:val="0"/>
              <w:marRight w:val="0"/>
              <w:marTop w:val="0"/>
              <w:marBottom w:val="0"/>
              <w:divBdr>
                <w:top w:val="single" w:sz="6" w:space="0" w:color="DEDCD8"/>
                <w:left w:val="single" w:sz="6" w:space="0" w:color="DEDCD8"/>
                <w:bottom w:val="single" w:sz="6" w:space="0" w:color="DEDCD8"/>
                <w:right w:val="single" w:sz="6" w:space="0" w:color="DEDCD8"/>
              </w:divBdr>
              <w:divsChild>
                <w:div w:id="1651785784">
                  <w:marLeft w:val="0"/>
                  <w:marRight w:val="0"/>
                  <w:marTop w:val="0"/>
                  <w:marBottom w:val="0"/>
                  <w:divBdr>
                    <w:top w:val="none" w:sz="0" w:space="0" w:color="auto"/>
                    <w:left w:val="none" w:sz="0" w:space="0" w:color="auto"/>
                    <w:bottom w:val="single" w:sz="6" w:space="0" w:color="DEDCD8"/>
                    <w:right w:val="none" w:sz="0" w:space="0" w:color="auto"/>
                  </w:divBdr>
                  <w:divsChild>
                    <w:div w:id="18648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28660">
      <w:bodyDiv w:val="1"/>
      <w:marLeft w:val="0"/>
      <w:marRight w:val="0"/>
      <w:marTop w:val="0"/>
      <w:marBottom w:val="0"/>
      <w:divBdr>
        <w:top w:val="none" w:sz="0" w:space="0" w:color="auto"/>
        <w:left w:val="none" w:sz="0" w:space="0" w:color="auto"/>
        <w:bottom w:val="none" w:sz="0" w:space="0" w:color="auto"/>
        <w:right w:val="none" w:sz="0" w:space="0" w:color="auto"/>
      </w:divBdr>
    </w:div>
    <w:div w:id="525944298">
      <w:bodyDiv w:val="1"/>
      <w:marLeft w:val="0"/>
      <w:marRight w:val="0"/>
      <w:marTop w:val="0"/>
      <w:marBottom w:val="0"/>
      <w:divBdr>
        <w:top w:val="none" w:sz="0" w:space="0" w:color="auto"/>
        <w:left w:val="none" w:sz="0" w:space="0" w:color="auto"/>
        <w:bottom w:val="none" w:sz="0" w:space="0" w:color="auto"/>
        <w:right w:val="none" w:sz="0" w:space="0" w:color="auto"/>
      </w:divBdr>
      <w:divsChild>
        <w:div w:id="411245827">
          <w:marLeft w:val="0"/>
          <w:marRight w:val="0"/>
          <w:marTop w:val="100"/>
          <w:marBottom w:val="100"/>
          <w:divBdr>
            <w:top w:val="none" w:sz="0" w:space="0" w:color="auto"/>
            <w:left w:val="none" w:sz="0" w:space="0" w:color="auto"/>
            <w:bottom w:val="none" w:sz="0" w:space="0" w:color="auto"/>
            <w:right w:val="none" w:sz="0" w:space="0" w:color="auto"/>
          </w:divBdr>
          <w:divsChild>
            <w:div w:id="1527135964">
              <w:marLeft w:val="0"/>
              <w:marRight w:val="0"/>
              <w:marTop w:val="0"/>
              <w:marBottom w:val="0"/>
              <w:divBdr>
                <w:top w:val="single" w:sz="6" w:space="0" w:color="DEDCD8"/>
                <w:left w:val="single" w:sz="6" w:space="0" w:color="DEDCD8"/>
                <w:bottom w:val="single" w:sz="6" w:space="0" w:color="DEDCD8"/>
                <w:right w:val="single" w:sz="6" w:space="0" w:color="DEDCD8"/>
              </w:divBdr>
              <w:divsChild>
                <w:div w:id="1495414538">
                  <w:marLeft w:val="0"/>
                  <w:marRight w:val="0"/>
                  <w:marTop w:val="0"/>
                  <w:marBottom w:val="0"/>
                  <w:divBdr>
                    <w:top w:val="none" w:sz="0" w:space="0" w:color="auto"/>
                    <w:left w:val="none" w:sz="0" w:space="0" w:color="auto"/>
                    <w:bottom w:val="none" w:sz="0" w:space="0" w:color="auto"/>
                    <w:right w:val="none" w:sz="0" w:space="0" w:color="auto"/>
                  </w:divBdr>
                </w:div>
                <w:div w:id="2076009795">
                  <w:marLeft w:val="0"/>
                  <w:marRight w:val="0"/>
                  <w:marTop w:val="0"/>
                  <w:marBottom w:val="0"/>
                  <w:divBdr>
                    <w:top w:val="none" w:sz="0" w:space="0" w:color="auto"/>
                    <w:left w:val="none" w:sz="0" w:space="0" w:color="auto"/>
                    <w:bottom w:val="none" w:sz="0" w:space="0" w:color="auto"/>
                    <w:right w:val="none" w:sz="0" w:space="0" w:color="auto"/>
                  </w:divBdr>
                  <w:divsChild>
                    <w:div w:id="83113781">
                      <w:marLeft w:val="75"/>
                      <w:marRight w:val="0"/>
                      <w:marTop w:val="0"/>
                      <w:marBottom w:val="0"/>
                      <w:divBdr>
                        <w:top w:val="none" w:sz="0" w:space="0" w:color="auto"/>
                        <w:left w:val="none" w:sz="0" w:space="0" w:color="auto"/>
                        <w:bottom w:val="none" w:sz="0" w:space="0" w:color="auto"/>
                        <w:right w:val="none" w:sz="0" w:space="0" w:color="auto"/>
                      </w:divBdr>
                      <w:divsChild>
                        <w:div w:id="564880137">
                          <w:marLeft w:val="0"/>
                          <w:marRight w:val="0"/>
                          <w:marTop w:val="0"/>
                          <w:marBottom w:val="0"/>
                          <w:divBdr>
                            <w:top w:val="none" w:sz="0" w:space="0" w:color="auto"/>
                            <w:left w:val="none" w:sz="0" w:space="0" w:color="auto"/>
                            <w:bottom w:val="none" w:sz="0" w:space="0" w:color="auto"/>
                            <w:right w:val="none" w:sz="0" w:space="0" w:color="auto"/>
                          </w:divBdr>
                          <w:divsChild>
                            <w:div w:id="1623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1490">
                  <w:marLeft w:val="150"/>
                  <w:marRight w:val="0"/>
                  <w:marTop w:val="0"/>
                  <w:marBottom w:val="0"/>
                  <w:divBdr>
                    <w:top w:val="none" w:sz="0" w:space="0" w:color="auto"/>
                    <w:left w:val="none" w:sz="0" w:space="0" w:color="auto"/>
                    <w:bottom w:val="none" w:sz="0" w:space="0" w:color="auto"/>
                    <w:right w:val="none" w:sz="0" w:space="0" w:color="auto"/>
                  </w:divBdr>
                </w:div>
                <w:div w:id="1811704032">
                  <w:marLeft w:val="0"/>
                  <w:marRight w:val="0"/>
                  <w:marTop w:val="0"/>
                  <w:marBottom w:val="0"/>
                  <w:divBdr>
                    <w:top w:val="none" w:sz="0" w:space="0" w:color="auto"/>
                    <w:left w:val="none" w:sz="0" w:space="0" w:color="auto"/>
                    <w:bottom w:val="none" w:sz="0" w:space="0" w:color="auto"/>
                    <w:right w:val="none" w:sz="0" w:space="0" w:color="auto"/>
                  </w:divBdr>
                </w:div>
                <w:div w:id="290937124">
                  <w:marLeft w:val="0"/>
                  <w:marRight w:val="0"/>
                  <w:marTop w:val="0"/>
                  <w:marBottom w:val="300"/>
                  <w:divBdr>
                    <w:top w:val="single" w:sz="6" w:space="8" w:color="666666"/>
                    <w:left w:val="single" w:sz="6" w:space="11" w:color="666666"/>
                    <w:bottom w:val="single" w:sz="6" w:space="10" w:color="666666"/>
                    <w:right w:val="single" w:sz="6" w:space="11" w:color="666666"/>
                  </w:divBdr>
                </w:div>
              </w:divsChild>
            </w:div>
          </w:divsChild>
        </w:div>
      </w:divsChild>
    </w:div>
    <w:div w:id="580913667">
      <w:bodyDiv w:val="1"/>
      <w:marLeft w:val="0"/>
      <w:marRight w:val="0"/>
      <w:marTop w:val="0"/>
      <w:marBottom w:val="0"/>
      <w:divBdr>
        <w:top w:val="none" w:sz="0" w:space="0" w:color="auto"/>
        <w:left w:val="none" w:sz="0" w:space="0" w:color="auto"/>
        <w:bottom w:val="none" w:sz="0" w:space="0" w:color="auto"/>
        <w:right w:val="none" w:sz="0" w:space="0" w:color="auto"/>
      </w:divBdr>
      <w:divsChild>
        <w:div w:id="423040219">
          <w:marLeft w:val="0"/>
          <w:marRight w:val="0"/>
          <w:marTop w:val="0"/>
          <w:marBottom w:val="375"/>
          <w:divBdr>
            <w:top w:val="none" w:sz="0" w:space="0" w:color="auto"/>
            <w:left w:val="none" w:sz="0" w:space="0" w:color="auto"/>
            <w:bottom w:val="none" w:sz="0" w:space="0" w:color="auto"/>
            <w:right w:val="none" w:sz="0" w:space="0" w:color="auto"/>
          </w:divBdr>
        </w:div>
      </w:divsChild>
    </w:div>
    <w:div w:id="582570853">
      <w:bodyDiv w:val="1"/>
      <w:marLeft w:val="0"/>
      <w:marRight w:val="0"/>
      <w:marTop w:val="0"/>
      <w:marBottom w:val="0"/>
      <w:divBdr>
        <w:top w:val="none" w:sz="0" w:space="0" w:color="auto"/>
        <w:left w:val="none" w:sz="0" w:space="0" w:color="auto"/>
        <w:bottom w:val="none" w:sz="0" w:space="0" w:color="auto"/>
        <w:right w:val="none" w:sz="0" w:space="0" w:color="auto"/>
      </w:divBdr>
    </w:div>
    <w:div w:id="877475376">
      <w:bodyDiv w:val="1"/>
      <w:marLeft w:val="0"/>
      <w:marRight w:val="0"/>
      <w:marTop w:val="0"/>
      <w:marBottom w:val="0"/>
      <w:divBdr>
        <w:top w:val="none" w:sz="0" w:space="0" w:color="auto"/>
        <w:left w:val="none" w:sz="0" w:space="0" w:color="auto"/>
        <w:bottom w:val="none" w:sz="0" w:space="0" w:color="auto"/>
        <w:right w:val="none" w:sz="0" w:space="0" w:color="auto"/>
      </w:divBdr>
      <w:divsChild>
        <w:div w:id="1507592821">
          <w:marLeft w:val="0"/>
          <w:marRight w:val="0"/>
          <w:marTop w:val="100"/>
          <w:marBottom w:val="100"/>
          <w:divBdr>
            <w:top w:val="none" w:sz="0" w:space="0" w:color="auto"/>
            <w:left w:val="none" w:sz="0" w:space="0" w:color="auto"/>
            <w:bottom w:val="none" w:sz="0" w:space="0" w:color="auto"/>
            <w:right w:val="none" w:sz="0" w:space="0" w:color="auto"/>
          </w:divBdr>
          <w:divsChild>
            <w:div w:id="1720012424">
              <w:marLeft w:val="0"/>
              <w:marRight w:val="0"/>
              <w:marTop w:val="0"/>
              <w:marBottom w:val="0"/>
              <w:divBdr>
                <w:top w:val="single" w:sz="6" w:space="0" w:color="DEDCD8"/>
                <w:left w:val="single" w:sz="6" w:space="0" w:color="DEDCD8"/>
                <w:bottom w:val="single" w:sz="6" w:space="0" w:color="DEDCD8"/>
                <w:right w:val="single" w:sz="6" w:space="0" w:color="DEDCD8"/>
              </w:divBdr>
              <w:divsChild>
                <w:div w:id="6593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4452">
      <w:bodyDiv w:val="1"/>
      <w:marLeft w:val="0"/>
      <w:marRight w:val="0"/>
      <w:marTop w:val="0"/>
      <w:marBottom w:val="0"/>
      <w:divBdr>
        <w:top w:val="none" w:sz="0" w:space="0" w:color="auto"/>
        <w:left w:val="none" w:sz="0" w:space="0" w:color="auto"/>
        <w:bottom w:val="none" w:sz="0" w:space="0" w:color="auto"/>
        <w:right w:val="none" w:sz="0" w:space="0" w:color="auto"/>
      </w:divBdr>
    </w:div>
    <w:div w:id="1020201818">
      <w:bodyDiv w:val="1"/>
      <w:marLeft w:val="0"/>
      <w:marRight w:val="0"/>
      <w:marTop w:val="0"/>
      <w:marBottom w:val="0"/>
      <w:divBdr>
        <w:top w:val="none" w:sz="0" w:space="0" w:color="auto"/>
        <w:left w:val="none" w:sz="0" w:space="0" w:color="auto"/>
        <w:bottom w:val="none" w:sz="0" w:space="0" w:color="auto"/>
        <w:right w:val="none" w:sz="0" w:space="0" w:color="auto"/>
      </w:divBdr>
      <w:divsChild>
        <w:div w:id="806897277">
          <w:marLeft w:val="0"/>
          <w:marRight w:val="0"/>
          <w:marTop w:val="0"/>
          <w:marBottom w:val="0"/>
          <w:divBdr>
            <w:top w:val="none" w:sz="0" w:space="0" w:color="auto"/>
            <w:left w:val="none" w:sz="0" w:space="0" w:color="auto"/>
            <w:bottom w:val="none" w:sz="0" w:space="0" w:color="auto"/>
            <w:right w:val="none" w:sz="0" w:space="0" w:color="auto"/>
          </w:divBdr>
          <w:divsChild>
            <w:div w:id="20150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0947">
      <w:bodyDiv w:val="1"/>
      <w:marLeft w:val="0"/>
      <w:marRight w:val="0"/>
      <w:marTop w:val="0"/>
      <w:marBottom w:val="0"/>
      <w:divBdr>
        <w:top w:val="none" w:sz="0" w:space="0" w:color="auto"/>
        <w:left w:val="none" w:sz="0" w:space="0" w:color="auto"/>
        <w:bottom w:val="none" w:sz="0" w:space="0" w:color="auto"/>
        <w:right w:val="none" w:sz="0" w:space="0" w:color="auto"/>
      </w:divBdr>
    </w:div>
    <w:div w:id="1037269218">
      <w:bodyDiv w:val="1"/>
      <w:marLeft w:val="0"/>
      <w:marRight w:val="0"/>
      <w:marTop w:val="0"/>
      <w:marBottom w:val="0"/>
      <w:divBdr>
        <w:top w:val="none" w:sz="0" w:space="0" w:color="auto"/>
        <w:left w:val="none" w:sz="0" w:space="0" w:color="auto"/>
        <w:bottom w:val="none" w:sz="0" w:space="0" w:color="auto"/>
        <w:right w:val="none" w:sz="0" w:space="0" w:color="auto"/>
      </w:divBdr>
      <w:divsChild>
        <w:div w:id="1081831907">
          <w:marLeft w:val="0"/>
          <w:marRight w:val="0"/>
          <w:marTop w:val="100"/>
          <w:marBottom w:val="100"/>
          <w:divBdr>
            <w:top w:val="none" w:sz="0" w:space="0" w:color="auto"/>
            <w:left w:val="none" w:sz="0" w:space="0" w:color="auto"/>
            <w:bottom w:val="none" w:sz="0" w:space="0" w:color="auto"/>
            <w:right w:val="none" w:sz="0" w:space="0" w:color="auto"/>
          </w:divBdr>
          <w:divsChild>
            <w:div w:id="1320887547">
              <w:marLeft w:val="0"/>
              <w:marRight w:val="0"/>
              <w:marTop w:val="0"/>
              <w:marBottom w:val="0"/>
              <w:divBdr>
                <w:top w:val="single" w:sz="6" w:space="0" w:color="DEDCD8"/>
                <w:left w:val="single" w:sz="6" w:space="0" w:color="DEDCD8"/>
                <w:bottom w:val="single" w:sz="6" w:space="0" w:color="DEDCD8"/>
                <w:right w:val="single" w:sz="6" w:space="0" w:color="DEDCD8"/>
              </w:divBdr>
              <w:divsChild>
                <w:div w:id="17343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96064">
      <w:bodyDiv w:val="1"/>
      <w:marLeft w:val="0"/>
      <w:marRight w:val="0"/>
      <w:marTop w:val="0"/>
      <w:marBottom w:val="0"/>
      <w:divBdr>
        <w:top w:val="none" w:sz="0" w:space="0" w:color="auto"/>
        <w:left w:val="none" w:sz="0" w:space="0" w:color="auto"/>
        <w:bottom w:val="none" w:sz="0" w:space="0" w:color="auto"/>
        <w:right w:val="none" w:sz="0" w:space="0" w:color="auto"/>
      </w:divBdr>
    </w:div>
    <w:div w:id="1072121103">
      <w:bodyDiv w:val="1"/>
      <w:marLeft w:val="0"/>
      <w:marRight w:val="0"/>
      <w:marTop w:val="0"/>
      <w:marBottom w:val="0"/>
      <w:divBdr>
        <w:top w:val="none" w:sz="0" w:space="0" w:color="auto"/>
        <w:left w:val="none" w:sz="0" w:space="0" w:color="auto"/>
        <w:bottom w:val="none" w:sz="0" w:space="0" w:color="auto"/>
        <w:right w:val="none" w:sz="0" w:space="0" w:color="auto"/>
      </w:divBdr>
    </w:div>
    <w:div w:id="1083647531">
      <w:bodyDiv w:val="1"/>
      <w:marLeft w:val="0"/>
      <w:marRight w:val="0"/>
      <w:marTop w:val="0"/>
      <w:marBottom w:val="0"/>
      <w:divBdr>
        <w:top w:val="none" w:sz="0" w:space="0" w:color="auto"/>
        <w:left w:val="none" w:sz="0" w:space="0" w:color="auto"/>
        <w:bottom w:val="none" w:sz="0" w:space="0" w:color="auto"/>
        <w:right w:val="none" w:sz="0" w:space="0" w:color="auto"/>
      </w:divBdr>
    </w:div>
    <w:div w:id="1141195681">
      <w:bodyDiv w:val="1"/>
      <w:marLeft w:val="0"/>
      <w:marRight w:val="0"/>
      <w:marTop w:val="0"/>
      <w:marBottom w:val="0"/>
      <w:divBdr>
        <w:top w:val="none" w:sz="0" w:space="0" w:color="auto"/>
        <w:left w:val="none" w:sz="0" w:space="0" w:color="auto"/>
        <w:bottom w:val="none" w:sz="0" w:space="0" w:color="auto"/>
        <w:right w:val="none" w:sz="0" w:space="0" w:color="auto"/>
      </w:divBdr>
    </w:div>
    <w:div w:id="1253859365">
      <w:bodyDiv w:val="1"/>
      <w:marLeft w:val="0"/>
      <w:marRight w:val="0"/>
      <w:marTop w:val="0"/>
      <w:marBottom w:val="0"/>
      <w:divBdr>
        <w:top w:val="none" w:sz="0" w:space="0" w:color="auto"/>
        <w:left w:val="none" w:sz="0" w:space="0" w:color="auto"/>
        <w:bottom w:val="none" w:sz="0" w:space="0" w:color="auto"/>
        <w:right w:val="none" w:sz="0" w:space="0" w:color="auto"/>
      </w:divBdr>
    </w:div>
    <w:div w:id="1254122756">
      <w:bodyDiv w:val="1"/>
      <w:marLeft w:val="0"/>
      <w:marRight w:val="0"/>
      <w:marTop w:val="0"/>
      <w:marBottom w:val="0"/>
      <w:divBdr>
        <w:top w:val="none" w:sz="0" w:space="0" w:color="auto"/>
        <w:left w:val="none" w:sz="0" w:space="0" w:color="auto"/>
        <w:bottom w:val="none" w:sz="0" w:space="0" w:color="auto"/>
        <w:right w:val="none" w:sz="0" w:space="0" w:color="auto"/>
      </w:divBdr>
    </w:div>
    <w:div w:id="1255170788">
      <w:bodyDiv w:val="1"/>
      <w:marLeft w:val="0"/>
      <w:marRight w:val="0"/>
      <w:marTop w:val="0"/>
      <w:marBottom w:val="0"/>
      <w:divBdr>
        <w:top w:val="none" w:sz="0" w:space="0" w:color="auto"/>
        <w:left w:val="none" w:sz="0" w:space="0" w:color="auto"/>
        <w:bottom w:val="none" w:sz="0" w:space="0" w:color="auto"/>
        <w:right w:val="none" w:sz="0" w:space="0" w:color="auto"/>
      </w:divBdr>
    </w:div>
    <w:div w:id="1427461594">
      <w:bodyDiv w:val="1"/>
      <w:marLeft w:val="0"/>
      <w:marRight w:val="0"/>
      <w:marTop w:val="0"/>
      <w:marBottom w:val="0"/>
      <w:divBdr>
        <w:top w:val="none" w:sz="0" w:space="0" w:color="auto"/>
        <w:left w:val="none" w:sz="0" w:space="0" w:color="auto"/>
        <w:bottom w:val="none" w:sz="0" w:space="0" w:color="auto"/>
        <w:right w:val="none" w:sz="0" w:space="0" w:color="auto"/>
      </w:divBdr>
    </w:div>
    <w:div w:id="1699626321">
      <w:bodyDiv w:val="1"/>
      <w:marLeft w:val="0"/>
      <w:marRight w:val="0"/>
      <w:marTop w:val="0"/>
      <w:marBottom w:val="0"/>
      <w:divBdr>
        <w:top w:val="none" w:sz="0" w:space="0" w:color="auto"/>
        <w:left w:val="none" w:sz="0" w:space="0" w:color="auto"/>
        <w:bottom w:val="none" w:sz="0" w:space="0" w:color="auto"/>
        <w:right w:val="none" w:sz="0" w:space="0" w:color="auto"/>
      </w:divBdr>
    </w:div>
    <w:div w:id="1751925218">
      <w:bodyDiv w:val="1"/>
      <w:marLeft w:val="0"/>
      <w:marRight w:val="0"/>
      <w:marTop w:val="0"/>
      <w:marBottom w:val="0"/>
      <w:divBdr>
        <w:top w:val="none" w:sz="0" w:space="0" w:color="auto"/>
        <w:left w:val="none" w:sz="0" w:space="0" w:color="auto"/>
        <w:bottom w:val="none" w:sz="0" w:space="0" w:color="auto"/>
        <w:right w:val="none" w:sz="0" w:space="0" w:color="auto"/>
      </w:divBdr>
    </w:div>
    <w:div w:id="1818961141">
      <w:bodyDiv w:val="1"/>
      <w:marLeft w:val="0"/>
      <w:marRight w:val="0"/>
      <w:marTop w:val="0"/>
      <w:marBottom w:val="0"/>
      <w:divBdr>
        <w:top w:val="none" w:sz="0" w:space="0" w:color="auto"/>
        <w:left w:val="none" w:sz="0" w:space="0" w:color="auto"/>
        <w:bottom w:val="none" w:sz="0" w:space="0" w:color="auto"/>
        <w:right w:val="none" w:sz="0" w:space="0" w:color="auto"/>
      </w:divBdr>
    </w:div>
    <w:div w:id="1922906620">
      <w:bodyDiv w:val="1"/>
      <w:marLeft w:val="0"/>
      <w:marRight w:val="0"/>
      <w:marTop w:val="0"/>
      <w:marBottom w:val="0"/>
      <w:divBdr>
        <w:top w:val="none" w:sz="0" w:space="0" w:color="auto"/>
        <w:left w:val="none" w:sz="0" w:space="0" w:color="auto"/>
        <w:bottom w:val="none" w:sz="0" w:space="0" w:color="auto"/>
        <w:right w:val="none" w:sz="0" w:space="0" w:color="auto"/>
      </w:divBdr>
    </w:div>
    <w:div w:id="2076782764">
      <w:bodyDiv w:val="1"/>
      <w:marLeft w:val="0"/>
      <w:marRight w:val="0"/>
      <w:marTop w:val="0"/>
      <w:marBottom w:val="0"/>
      <w:divBdr>
        <w:top w:val="none" w:sz="0" w:space="0" w:color="auto"/>
        <w:left w:val="none" w:sz="0" w:space="0" w:color="auto"/>
        <w:bottom w:val="none" w:sz="0" w:space="0" w:color="auto"/>
        <w:right w:val="none" w:sz="0" w:space="0" w:color="auto"/>
      </w:divBdr>
      <w:divsChild>
        <w:div w:id="1021201230">
          <w:marLeft w:val="0"/>
          <w:marRight w:val="0"/>
          <w:marTop w:val="100"/>
          <w:marBottom w:val="100"/>
          <w:divBdr>
            <w:top w:val="none" w:sz="0" w:space="0" w:color="auto"/>
            <w:left w:val="none" w:sz="0" w:space="0" w:color="auto"/>
            <w:bottom w:val="none" w:sz="0" w:space="0" w:color="auto"/>
            <w:right w:val="none" w:sz="0" w:space="0" w:color="auto"/>
          </w:divBdr>
          <w:divsChild>
            <w:div w:id="1342391819">
              <w:marLeft w:val="0"/>
              <w:marRight w:val="0"/>
              <w:marTop w:val="0"/>
              <w:marBottom w:val="0"/>
              <w:divBdr>
                <w:top w:val="single" w:sz="6" w:space="0" w:color="DEDCD8"/>
                <w:left w:val="single" w:sz="6" w:space="0" w:color="DEDCD8"/>
                <w:bottom w:val="single" w:sz="6" w:space="0" w:color="DEDCD8"/>
                <w:right w:val="single" w:sz="6" w:space="0" w:color="DEDCD8"/>
              </w:divBdr>
              <w:divsChild>
                <w:div w:id="7446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85E1EEB-738C-47AD-AA05-D63EEB4450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910</Words>
  <Characters>5188</Characters>
  <Application>Microsoft Office Word</Application>
  <DocSecurity>0</DocSecurity>
  <Lines>43</Lines>
  <Paragraphs>12</Paragraphs>
  <ScaleCrop>false</ScaleCrop>
  <Company>Microsoft</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houyang</dc:creator>
  <cp:lastModifiedBy>lianbo gao</cp:lastModifiedBy>
  <cp:revision>197</cp:revision>
  <cp:lastPrinted>2021-07-14T08:34:00Z</cp:lastPrinted>
  <dcterms:created xsi:type="dcterms:W3CDTF">2019-09-17T02:15:00Z</dcterms:created>
  <dcterms:modified xsi:type="dcterms:W3CDTF">2025-03-20T02:27:00Z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A983A40E70D743D1A38D76CBDDA45DA9</vt:lpwstr>
  </property>
</Properties>
</file>