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127A" w14:textId="5870C9A2" w:rsidR="00F90B29" w:rsidRPr="001F3EF2" w:rsidRDefault="00F90B29" w:rsidP="00F90B29">
      <w:pPr>
        <w:widowControl/>
        <w:shd w:val="clear" w:color="auto" w:fill="FFFFFF"/>
        <w:spacing w:before="225" w:after="225"/>
        <w:jc w:val="left"/>
        <w:outlineLvl w:val="4"/>
        <w:rPr>
          <w:rFonts w:asciiTheme="minorEastAsia" w:eastAsiaTheme="minorEastAsia" w:hAnsiTheme="minorEastAsia" w:cs="宋体" w:hint="eastAsia"/>
          <w:b/>
          <w:bCs/>
          <w:color w:val="000000"/>
          <w:sz w:val="24"/>
          <w:szCs w:val="24"/>
          <w:lang w:eastAsia="zh-CN"/>
        </w:rPr>
      </w:pPr>
      <w:bookmarkStart w:id="0" w:name="_Hlk132373598"/>
      <w:r w:rsidRPr="00F90B29">
        <w:rPr>
          <w:rFonts w:hint="eastAsia"/>
          <w:b/>
          <w:bCs/>
          <w:lang w:eastAsia="zh-CN"/>
        </w:rPr>
        <w:t>▲</w:t>
      </w:r>
      <w:bookmarkStart w:id="1" w:name="OLE_LINK2"/>
      <w:r w:rsidR="001F3EF2" w:rsidRPr="001F3EF2">
        <w:rPr>
          <w:rFonts w:asciiTheme="minorEastAsia" w:eastAsiaTheme="minorEastAsia" w:hAnsiTheme="minorEastAsia" w:cs="宋体" w:hint="eastAsia"/>
          <w:b/>
          <w:bCs/>
          <w:color w:val="000000"/>
          <w:sz w:val="24"/>
          <w:szCs w:val="24"/>
          <w:lang w:eastAsia="zh-CN"/>
        </w:rPr>
        <w:t>中华人民共和国增值税法</w:t>
      </w:r>
      <w:bookmarkEnd w:id="1"/>
    </w:p>
    <w:p w14:paraId="6699A78D" w14:textId="605E8FBA" w:rsidR="00F90B29" w:rsidRPr="00F90B29" w:rsidRDefault="00F90B29" w:rsidP="00F90B29">
      <w:pPr>
        <w:spacing w:beforeLines="50" w:before="156" w:afterLines="50" w:after="156" w:line="360" w:lineRule="auto"/>
        <w:rPr>
          <w:rFonts w:asciiTheme="minorEastAsia" w:eastAsiaTheme="minorEastAsia" w:hAnsiTheme="minorEastAsia" w:cs="宋体" w:hint="eastAsia"/>
          <w:b/>
          <w:color w:val="000000"/>
          <w:sz w:val="24"/>
          <w:szCs w:val="24"/>
          <w:lang w:eastAsia="zh-CN"/>
        </w:rPr>
      </w:pPr>
      <w:bookmarkStart w:id="2" w:name="OLE_LINK3"/>
      <w:r w:rsidRPr="00F90B29">
        <w:rPr>
          <w:rFonts w:asciiTheme="minorEastAsia" w:eastAsiaTheme="minorEastAsia" w:hAnsiTheme="minorEastAsia" w:cs="宋体" w:hint="eastAsia"/>
          <w:b/>
          <w:color w:val="000000"/>
          <w:sz w:val="24"/>
          <w:szCs w:val="24"/>
          <w:lang w:eastAsia="zh-CN"/>
        </w:rPr>
        <w:t>文件主要内容</w:t>
      </w:r>
      <w:bookmarkEnd w:id="2"/>
      <w:r w:rsidRPr="00F90B29">
        <w:rPr>
          <w:rFonts w:asciiTheme="minorEastAsia" w:eastAsiaTheme="minorEastAsia" w:hAnsiTheme="minorEastAsia" w:cs="宋体" w:hint="eastAsia"/>
          <w:b/>
          <w:color w:val="000000"/>
          <w:sz w:val="24"/>
          <w:szCs w:val="24"/>
          <w:lang w:eastAsia="zh-CN"/>
        </w:rPr>
        <w:t>如下：</w:t>
      </w:r>
    </w:p>
    <w:p w14:paraId="1B3392FE" w14:textId="77777777" w:rsidR="00F90B29" w:rsidRDefault="00F90B29" w:rsidP="00EF7384">
      <w:pPr>
        <w:rPr>
          <w:rFonts w:asciiTheme="minorEastAsia" w:eastAsiaTheme="minorEastAsia" w:hAnsiTheme="minorEastAsia" w:cs="宋体" w:hint="eastAsia"/>
          <w:b/>
          <w:bCs/>
          <w:color w:val="000000"/>
          <w:sz w:val="24"/>
          <w:szCs w:val="24"/>
          <w:lang w:eastAsia="zh-CN"/>
        </w:rPr>
      </w:pPr>
    </w:p>
    <w:p w14:paraId="3C00F55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注释</w:t>
      </w:r>
    </w:p>
    <w:p w14:paraId="0BD030B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sz w:val="24"/>
          <w:szCs w:val="24"/>
          <w:lang w:eastAsia="zh-CN"/>
        </w:rPr>
        <w:t>2024</w:t>
      </w:r>
      <w:r w:rsidRPr="001F3EF2">
        <w:rPr>
          <w:rFonts w:ascii="Calibri" w:eastAsia="宋体" w:hAnsi="Calibri" w:hint="eastAsia"/>
          <w:sz w:val="24"/>
          <w:szCs w:val="24"/>
          <w:lang w:eastAsia="zh-CN"/>
        </w:rPr>
        <w:t>年</w:t>
      </w:r>
      <w:r w:rsidRPr="001F3EF2">
        <w:rPr>
          <w:rFonts w:ascii="Calibri" w:eastAsia="宋体" w:hAnsi="Calibri"/>
          <w:sz w:val="24"/>
          <w:szCs w:val="24"/>
          <w:lang w:eastAsia="zh-CN"/>
        </w:rPr>
        <w:t>12</w:t>
      </w:r>
      <w:r w:rsidRPr="001F3EF2">
        <w:rPr>
          <w:rFonts w:ascii="Calibri" w:eastAsia="宋体" w:hAnsi="Calibri" w:hint="eastAsia"/>
          <w:sz w:val="24"/>
          <w:szCs w:val="24"/>
          <w:lang w:eastAsia="zh-CN"/>
        </w:rPr>
        <w:t>月</w:t>
      </w:r>
      <w:r w:rsidRPr="001F3EF2">
        <w:rPr>
          <w:rFonts w:ascii="Calibri" w:eastAsia="宋体" w:hAnsi="Calibri"/>
          <w:sz w:val="24"/>
          <w:szCs w:val="24"/>
          <w:lang w:eastAsia="zh-CN"/>
        </w:rPr>
        <w:t>25</w:t>
      </w:r>
      <w:r w:rsidRPr="001F3EF2">
        <w:rPr>
          <w:rFonts w:ascii="Calibri" w:eastAsia="宋体" w:hAnsi="Calibri" w:hint="eastAsia"/>
          <w:sz w:val="24"/>
          <w:szCs w:val="24"/>
          <w:lang w:eastAsia="zh-CN"/>
        </w:rPr>
        <w:t>日第十四届全国人民代表大会常务委员会第十三次会议通过</w:t>
      </w:r>
      <w:r w:rsidRPr="001F3EF2">
        <w:rPr>
          <w:rFonts w:ascii="Calibri" w:eastAsia="宋体" w:hAnsi="Calibri"/>
          <w:sz w:val="24"/>
          <w:szCs w:val="24"/>
          <w:lang w:eastAsia="zh-CN"/>
        </w:rPr>
        <w:t xml:space="preserve"> </w:t>
      </w:r>
      <w:r w:rsidRPr="001F3EF2">
        <w:rPr>
          <w:rFonts w:ascii="Calibri" w:eastAsia="宋体" w:hAnsi="Calibri" w:hint="eastAsia"/>
          <w:sz w:val="24"/>
          <w:szCs w:val="24"/>
          <w:lang w:eastAsia="zh-CN"/>
        </w:rPr>
        <w:t>自</w:t>
      </w:r>
      <w:r w:rsidRPr="001F3EF2">
        <w:rPr>
          <w:rFonts w:ascii="Calibri" w:eastAsia="宋体" w:hAnsi="Calibri"/>
          <w:sz w:val="24"/>
          <w:szCs w:val="24"/>
          <w:lang w:eastAsia="zh-CN"/>
        </w:rPr>
        <w:t>2026</w:t>
      </w:r>
      <w:r w:rsidRPr="001F3EF2">
        <w:rPr>
          <w:rFonts w:ascii="Calibri" w:eastAsia="宋体" w:hAnsi="Calibri" w:hint="eastAsia"/>
          <w:sz w:val="24"/>
          <w:szCs w:val="24"/>
          <w:lang w:eastAsia="zh-CN"/>
        </w:rPr>
        <w:t>年</w:t>
      </w:r>
      <w:r w:rsidRPr="001F3EF2">
        <w:rPr>
          <w:rFonts w:ascii="Calibri" w:eastAsia="宋体" w:hAnsi="Calibri"/>
          <w:sz w:val="24"/>
          <w:szCs w:val="24"/>
          <w:lang w:eastAsia="zh-CN"/>
        </w:rPr>
        <w:t>1</w:t>
      </w:r>
      <w:r w:rsidRPr="001F3EF2">
        <w:rPr>
          <w:rFonts w:ascii="Calibri" w:eastAsia="宋体" w:hAnsi="Calibri" w:hint="eastAsia"/>
          <w:sz w:val="24"/>
          <w:szCs w:val="24"/>
          <w:lang w:eastAsia="zh-CN"/>
        </w:rPr>
        <w:t>月</w:t>
      </w:r>
      <w:r w:rsidRPr="001F3EF2">
        <w:rPr>
          <w:rFonts w:ascii="Calibri" w:eastAsia="宋体" w:hAnsi="Calibri"/>
          <w:sz w:val="24"/>
          <w:szCs w:val="24"/>
          <w:lang w:eastAsia="zh-CN"/>
        </w:rPr>
        <w:t>1</w:t>
      </w:r>
      <w:r w:rsidRPr="001F3EF2">
        <w:rPr>
          <w:rFonts w:ascii="Calibri" w:eastAsia="宋体" w:hAnsi="Calibri" w:hint="eastAsia"/>
          <w:sz w:val="24"/>
          <w:szCs w:val="24"/>
          <w:lang w:eastAsia="zh-CN"/>
        </w:rPr>
        <w:t>日起施行</w:t>
      </w:r>
    </w:p>
    <w:p w14:paraId="4CE8D157"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目　　录</w:t>
      </w:r>
    </w:p>
    <w:p w14:paraId="1AB3C4AF"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第一章　总　　则</w:t>
      </w:r>
    </w:p>
    <w:p w14:paraId="7D8D2B63"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第二章　</w:t>
      </w:r>
      <w:proofErr w:type="gramStart"/>
      <w:r w:rsidRPr="001F3EF2">
        <w:rPr>
          <w:rFonts w:ascii="Calibri" w:eastAsia="宋体" w:hAnsi="Calibri" w:hint="eastAsia"/>
          <w:sz w:val="24"/>
          <w:szCs w:val="24"/>
          <w:lang w:eastAsia="zh-CN"/>
        </w:rPr>
        <w:t xml:space="preserve">税　　</w:t>
      </w:r>
      <w:proofErr w:type="gramEnd"/>
      <w:r w:rsidRPr="001F3EF2">
        <w:rPr>
          <w:rFonts w:ascii="Calibri" w:eastAsia="宋体" w:hAnsi="Calibri" w:hint="eastAsia"/>
          <w:sz w:val="24"/>
          <w:szCs w:val="24"/>
          <w:lang w:eastAsia="zh-CN"/>
        </w:rPr>
        <w:t>率</w:t>
      </w:r>
    </w:p>
    <w:p w14:paraId="2BC66F8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第三章　应纳税额</w:t>
      </w:r>
    </w:p>
    <w:p w14:paraId="76B22DF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第四章　税收优惠</w:t>
      </w:r>
    </w:p>
    <w:p w14:paraId="2C9B44D6"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第五章　征收管理</w:t>
      </w:r>
    </w:p>
    <w:p w14:paraId="5BAC9E6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第六章　附　　则</w:t>
      </w:r>
    </w:p>
    <w:p w14:paraId="0844EAE0"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sz w:val="24"/>
          <w:szCs w:val="24"/>
          <w:lang w:eastAsia="zh-CN"/>
        </w:rPr>
        <w:t> </w:t>
      </w:r>
    </w:p>
    <w:p w14:paraId="56F33B9C"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第一章　总　　则</w:t>
      </w:r>
    </w:p>
    <w:p w14:paraId="4C42BE44"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sz w:val="24"/>
          <w:szCs w:val="24"/>
          <w:lang w:eastAsia="zh-CN"/>
        </w:rPr>
        <w:t> </w:t>
      </w:r>
    </w:p>
    <w:p w14:paraId="378A1470"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第一条　为了健全有利于高质量发展的增值税制度，规范增值税的征收和缴纳，保护纳税人的合法权益，制定本法。</w:t>
      </w:r>
    </w:p>
    <w:p w14:paraId="473EEF71"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第二条　增值税税收工作应当贯彻落实党和国家路线方针政策、决策部署，为国民经济和社会发展服务。</w:t>
      </w:r>
    </w:p>
    <w:p w14:paraId="5474AB53"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第三条　在中华人民共和国境内（以下简称境内）销售货物、服务、无形资产、不动产（以下称应税交易），以及进口货物的单位和个人（包括个体工商户），为增值税的纳税人，应当依照本法规定缴纳增值税。</w:t>
      </w:r>
    </w:p>
    <w:p w14:paraId="1ADD70D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销售货物、服务、无形资产、不动产，是指有偿转让货物、不动产的所有权，有偿提供服务，有偿转让无形资产的所有权或者使用权。</w:t>
      </w:r>
    </w:p>
    <w:p w14:paraId="3C3F7C5E"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第四条　在境内发生应税交易，是指下列情形：</w:t>
      </w:r>
    </w:p>
    <w:p w14:paraId="6A92F0D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（一）销售货物的，货物的起运地或者所在地在境内；</w:t>
      </w:r>
    </w:p>
    <w:p w14:paraId="222D9DDB"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（二）销售或者租赁不动产、转让自然资源使用权的，不动产、自然资源所在地在境内；</w:t>
      </w:r>
    </w:p>
    <w:p w14:paraId="4B0D8DCF"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lastRenderedPageBreak/>
        <w:t xml:space="preserve">　　（三）销售金融商品的，金融商品在境内发行，或者销售方为境内单位和个人；</w:t>
      </w:r>
    </w:p>
    <w:p w14:paraId="62062154"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（四）除本条第二项、第三项规定外，销售服务、无形资产的，服务、无形资产在境内消费，或者销售方为境内单位和个人。</w:t>
      </w:r>
    </w:p>
    <w:p w14:paraId="20397945"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第五条　有下列情形之一的，视同应税交易，应当依照本法规定缴纳增值税：</w:t>
      </w:r>
    </w:p>
    <w:p w14:paraId="57EE192B"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（一）单位和个体工商户将自产或者委托加工的货物用于集体福利或者个人消费；</w:t>
      </w:r>
    </w:p>
    <w:p w14:paraId="64485CF0"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（二）单位和个体工商户无偿转让货物；</w:t>
      </w:r>
    </w:p>
    <w:p w14:paraId="4722469E"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（三）单位和个人无偿转让无形资产、不动产或者金融商品。</w:t>
      </w:r>
    </w:p>
    <w:p w14:paraId="08FBF6A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第六条　有下列情形之一的，不属于应税交易，不征收增值税：</w:t>
      </w:r>
    </w:p>
    <w:p w14:paraId="45329460"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（一）员工为受雇单位或者雇主提供取得工资、薪金的服务；</w:t>
      </w:r>
    </w:p>
    <w:p w14:paraId="4072FEB1"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（二）收取行政事业性收费、政府性基金；</w:t>
      </w:r>
    </w:p>
    <w:p w14:paraId="16A1A1A6"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（三）依照法律规定被征收、征用而取得补偿；</w:t>
      </w:r>
    </w:p>
    <w:p w14:paraId="51C30C8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（四）取得存款利息收入。</w:t>
      </w:r>
    </w:p>
    <w:p w14:paraId="42C3C1B3"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第七条　增值税为价外税，应税交易的销售额不包括增值税税额。增值税税额，应当按照国务院的规定在交易凭证上单独列明。</w:t>
      </w:r>
    </w:p>
    <w:p w14:paraId="6AEACE23"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第八条　纳税人发生应税交易，应当按照一般计税方法，通过销项税额抵扣进项税额计算应纳税额的方式，计算缴纳增值税；本法另有规定的除外。</w:t>
      </w:r>
    </w:p>
    <w:p w14:paraId="4CF2F3F3"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小规模纳税人可以按照销售额和征收率计算应纳税额的简易计税方法，计算缴纳增值税。</w:t>
      </w:r>
    </w:p>
    <w:p w14:paraId="1F858606"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中外合作开采海洋石油、天然气增值税的计税方法等，按照国务院的有关规定执行。</w:t>
      </w:r>
    </w:p>
    <w:p w14:paraId="6073585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第九条　本法所称小规模纳税人，是指年应征增值税销售额未超过五百万元的纳税人。</w:t>
      </w:r>
    </w:p>
    <w:p w14:paraId="4411CCD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小规模纳税人会计核算健全，能够提供准确税务资料的，可以向主管税务机关办理登记，按照本法规定的一般计税方法计算缴纳增值税。</w:t>
      </w:r>
    </w:p>
    <w:p w14:paraId="79ED1565"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根据国民经济和社会发展的需要，国务院可以对小规模纳税人的标准</w:t>
      </w:r>
      <w:proofErr w:type="gramStart"/>
      <w:r w:rsidRPr="001F3EF2">
        <w:rPr>
          <w:rFonts w:ascii="Calibri" w:eastAsia="宋体" w:hAnsi="Calibri" w:hint="eastAsia"/>
          <w:sz w:val="24"/>
          <w:szCs w:val="24"/>
          <w:lang w:eastAsia="zh-CN"/>
        </w:rPr>
        <w:t>作出</w:t>
      </w:r>
      <w:proofErr w:type="gramEnd"/>
      <w:r w:rsidRPr="001F3EF2">
        <w:rPr>
          <w:rFonts w:ascii="Calibri" w:eastAsia="宋体" w:hAnsi="Calibri" w:hint="eastAsia"/>
          <w:sz w:val="24"/>
          <w:szCs w:val="24"/>
          <w:lang w:eastAsia="zh-CN"/>
        </w:rPr>
        <w:t>调整，报全国人民代表大会常务委员会备案。</w:t>
      </w:r>
    </w:p>
    <w:p w14:paraId="175ABF1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sz w:val="24"/>
          <w:szCs w:val="24"/>
          <w:lang w:eastAsia="zh-CN"/>
        </w:rPr>
        <w:t> </w:t>
      </w:r>
    </w:p>
    <w:p w14:paraId="3DFBD38B" w14:textId="4DB0A98E"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lastRenderedPageBreak/>
        <w:t xml:space="preserve">第二章　</w:t>
      </w:r>
      <w:proofErr w:type="gramStart"/>
      <w:r w:rsidRPr="001F3EF2">
        <w:rPr>
          <w:rFonts w:ascii="Calibri" w:eastAsia="宋体" w:hAnsi="Calibri" w:hint="eastAsia"/>
          <w:sz w:val="24"/>
          <w:szCs w:val="24"/>
          <w:lang w:eastAsia="zh-CN"/>
        </w:rPr>
        <w:t xml:space="preserve">税　　</w:t>
      </w:r>
      <w:proofErr w:type="gramEnd"/>
      <w:r w:rsidRPr="001F3EF2">
        <w:rPr>
          <w:rFonts w:ascii="Calibri" w:eastAsia="宋体" w:hAnsi="Calibri" w:hint="eastAsia"/>
          <w:sz w:val="24"/>
          <w:szCs w:val="24"/>
          <w:lang w:eastAsia="zh-CN"/>
        </w:rPr>
        <w:t>率</w:t>
      </w:r>
      <w:r w:rsidRPr="001F3EF2">
        <w:rPr>
          <w:rFonts w:ascii="Calibri" w:eastAsia="宋体" w:hAnsi="Calibri"/>
          <w:sz w:val="24"/>
          <w:szCs w:val="24"/>
          <w:lang w:eastAsia="zh-CN"/>
        </w:rPr>
        <w:t> </w:t>
      </w:r>
    </w:p>
    <w:p w14:paraId="00EF53FE"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第十条　增值税税率：</w:t>
      </w:r>
    </w:p>
    <w:p w14:paraId="7875D83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（一）纳税人销售货物、加工修理修配服务、有形动产租赁服务，进口货物，除本条第二项、第四项、第五项规定外，税率为百分之十三。</w:t>
      </w:r>
    </w:p>
    <w:p w14:paraId="5BF5995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（二）纳税人销售交通运输、邮政、基础电信、建筑、不动产租赁服务，销售不动产，转让土地使用权，销售或者进口下列货物，除本条第四项、第五项规定外，税率为百分之九：</w:t>
      </w:r>
    </w:p>
    <w:p w14:paraId="78097E3E"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w:t>
      </w:r>
      <w:r w:rsidRPr="001F3EF2">
        <w:rPr>
          <w:rFonts w:ascii="Calibri" w:eastAsia="宋体" w:hAnsi="Calibri"/>
          <w:sz w:val="24"/>
          <w:szCs w:val="24"/>
          <w:lang w:eastAsia="zh-CN"/>
        </w:rPr>
        <w:t>1.</w:t>
      </w:r>
      <w:r w:rsidRPr="001F3EF2">
        <w:rPr>
          <w:rFonts w:ascii="Calibri" w:eastAsia="宋体" w:hAnsi="Calibri" w:hint="eastAsia"/>
          <w:sz w:val="24"/>
          <w:szCs w:val="24"/>
          <w:lang w:eastAsia="zh-CN"/>
        </w:rPr>
        <w:t>农产品、食用植物油、食用盐；</w:t>
      </w:r>
    </w:p>
    <w:p w14:paraId="1F3CFB39"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w:t>
      </w:r>
      <w:r w:rsidRPr="001F3EF2">
        <w:rPr>
          <w:rFonts w:ascii="Calibri" w:eastAsia="宋体" w:hAnsi="Calibri"/>
          <w:sz w:val="24"/>
          <w:szCs w:val="24"/>
          <w:lang w:eastAsia="zh-CN"/>
        </w:rPr>
        <w:t>2.</w:t>
      </w:r>
      <w:r w:rsidRPr="001F3EF2">
        <w:rPr>
          <w:rFonts w:ascii="Calibri" w:eastAsia="宋体" w:hAnsi="Calibri" w:hint="eastAsia"/>
          <w:sz w:val="24"/>
          <w:szCs w:val="24"/>
          <w:lang w:eastAsia="zh-CN"/>
        </w:rPr>
        <w:t>自来水、暖气、冷气、热水、煤气、石油液化气、天然气、二甲醚、沼气、居民用煤炭制品；</w:t>
      </w:r>
    </w:p>
    <w:p w14:paraId="017E865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w:t>
      </w:r>
      <w:r w:rsidRPr="001F3EF2">
        <w:rPr>
          <w:rFonts w:ascii="Calibri" w:eastAsia="宋体" w:hAnsi="Calibri"/>
          <w:sz w:val="24"/>
          <w:szCs w:val="24"/>
          <w:lang w:eastAsia="zh-CN"/>
        </w:rPr>
        <w:t>3.</w:t>
      </w:r>
      <w:r w:rsidRPr="001F3EF2">
        <w:rPr>
          <w:rFonts w:ascii="Calibri" w:eastAsia="宋体" w:hAnsi="Calibri" w:hint="eastAsia"/>
          <w:sz w:val="24"/>
          <w:szCs w:val="24"/>
          <w:lang w:eastAsia="zh-CN"/>
        </w:rPr>
        <w:t>图书、报纸、杂志、音像制品、电子出版物；</w:t>
      </w:r>
    </w:p>
    <w:p w14:paraId="6DF54A4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w:t>
      </w:r>
      <w:r w:rsidRPr="001F3EF2">
        <w:rPr>
          <w:rFonts w:ascii="Calibri" w:eastAsia="宋体" w:hAnsi="Calibri"/>
          <w:sz w:val="24"/>
          <w:szCs w:val="24"/>
          <w:lang w:eastAsia="zh-CN"/>
        </w:rPr>
        <w:t>4.</w:t>
      </w:r>
      <w:r w:rsidRPr="001F3EF2">
        <w:rPr>
          <w:rFonts w:ascii="Calibri" w:eastAsia="宋体" w:hAnsi="Calibri" w:hint="eastAsia"/>
          <w:sz w:val="24"/>
          <w:szCs w:val="24"/>
          <w:lang w:eastAsia="zh-CN"/>
        </w:rPr>
        <w:t>饲料、化肥、农药、农机、农膜。</w:t>
      </w:r>
    </w:p>
    <w:p w14:paraId="762FF50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（三）纳税人销售服务、无形资产，除本条第一项、第二项、第五项规定外，税率为百分之六。</w:t>
      </w:r>
    </w:p>
    <w:p w14:paraId="28D86543"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（四）纳税人出口货物，税率为零；国务院另有规定的除外。</w:t>
      </w:r>
    </w:p>
    <w:p w14:paraId="10B19316"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（五）境内单位和个人跨境销售国务院规定范围内的服务、无形资产，税率为零。</w:t>
      </w:r>
    </w:p>
    <w:p w14:paraId="07645B0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第十一条　适用简易计税方法计算缴纳增值税的征收率为百分之三。</w:t>
      </w:r>
    </w:p>
    <w:p w14:paraId="30040F0E"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第十二条　纳税人发生两项以上应税交易涉及不同税率、征收率的，应当分别核算适用不同税率、征收率的销售额；未分别核算的，从高适用税率。</w:t>
      </w:r>
    </w:p>
    <w:p w14:paraId="077D0CED" w14:textId="095BE6DD"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第十三条　纳税人发生一项应税交易涉及两个以上税率、征收率的，按</w:t>
      </w:r>
      <w:proofErr w:type="gramStart"/>
      <w:r w:rsidRPr="001F3EF2">
        <w:rPr>
          <w:rFonts w:ascii="Calibri" w:eastAsia="宋体" w:hAnsi="Calibri" w:hint="eastAsia"/>
          <w:sz w:val="24"/>
          <w:szCs w:val="24"/>
          <w:lang w:eastAsia="zh-CN"/>
        </w:rPr>
        <w:t>照应税交易</w:t>
      </w:r>
      <w:proofErr w:type="gramEnd"/>
      <w:r w:rsidRPr="001F3EF2">
        <w:rPr>
          <w:rFonts w:ascii="Calibri" w:eastAsia="宋体" w:hAnsi="Calibri" w:hint="eastAsia"/>
          <w:sz w:val="24"/>
          <w:szCs w:val="24"/>
          <w:lang w:eastAsia="zh-CN"/>
        </w:rPr>
        <w:t>的主要业务适用税率、征收率。</w:t>
      </w:r>
    </w:p>
    <w:p w14:paraId="4900F56A" w14:textId="117A6828"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第三章　应纳税额</w:t>
      </w:r>
    </w:p>
    <w:p w14:paraId="44D3B255"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第十四条　按照一般计税方法计算缴纳增值税的，应纳税额为当期销项税额抵扣当期进项税额后的余额。</w:t>
      </w:r>
    </w:p>
    <w:p w14:paraId="086D4405"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按照简易计税方法计算缴纳增值税的，应纳税额为当期销售额乘以征收率。</w:t>
      </w:r>
    </w:p>
    <w:p w14:paraId="62D71ED3"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进口货物，按照本法规定的组成计税价格乘以适用税率计算缴纳增值税。组成计税价格，为关税计税价格加上关税和消费税；国务院另有规定的，从其规定。</w:t>
      </w:r>
    </w:p>
    <w:p w14:paraId="71C66887"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第十五条　境外单位和个人在境内发生应税交易，以购买方为扣缴义务人；</w:t>
      </w:r>
      <w:r w:rsidRPr="001F3EF2">
        <w:rPr>
          <w:rFonts w:ascii="Calibri" w:eastAsia="宋体" w:hAnsi="Calibri" w:hint="eastAsia"/>
          <w:sz w:val="24"/>
          <w:szCs w:val="24"/>
          <w:lang w:eastAsia="zh-CN"/>
        </w:rPr>
        <w:lastRenderedPageBreak/>
        <w:t>按照国务院的规定委托境内代理人申报缴纳税款的除外。</w:t>
      </w:r>
    </w:p>
    <w:p w14:paraId="63A5081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扣缴义务人依照本法规定代扣代缴税款的，按照销售额乘以税率计算应扣缴税额。</w:t>
      </w:r>
    </w:p>
    <w:p w14:paraId="4D353127"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第十六条　销项税额，是指纳税人发生应税交易，按照销售额乘以本法规定的税率计算的增值税税额。</w:t>
      </w:r>
    </w:p>
    <w:p w14:paraId="0CAB7F3C"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进项税额，是指纳税人购进货物、服务、无形资产、不动产支付或者负担的增值税税额。</w:t>
      </w:r>
    </w:p>
    <w:p w14:paraId="2A3CE103"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纳税人应当凭法律、行政法规或者国务院规定的增值税扣税凭证从销项税额中抵扣进项税额。</w:t>
      </w:r>
    </w:p>
    <w:p w14:paraId="7C90FD1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第十七条　销售额，是指纳税人发生应税交易取得的与之相关的价款，包括货币和非货币形式的经济利益对应的全部价款，不包括按照一般计税方法计算的销项税额和按照简易计税方法计算的应纳税额。</w:t>
      </w:r>
    </w:p>
    <w:p w14:paraId="614B373F"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第十八条　销售额以人民币计算。纳税人以人民币以外的货币结算销售额的，应当折合成人民币计算。</w:t>
      </w:r>
    </w:p>
    <w:p w14:paraId="1D935384"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第十九条　发生本法第五条规定的视同应税交易以及销售额为非货币形式的，纳税人应当按照市场价格确定销售额。</w:t>
      </w:r>
    </w:p>
    <w:p w14:paraId="37F7AA7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第二十条　销售额明显偏低或者偏高且无正当理由的，税务机关可以依照《中华人民共和国税收征收管理法》和有关行政法规的规定核定销售额。</w:t>
      </w:r>
    </w:p>
    <w:p w14:paraId="3352B9CC"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第二十一条　当期进项税额大于当期销项税额的部分，纳税人可以按照国务院的规定选择结转下期继续抵扣或者申请退还。</w:t>
      </w:r>
    </w:p>
    <w:p w14:paraId="07AE8D8C"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第二十二条　纳税人的下列进项税额不得从其销项税额中抵扣：</w:t>
      </w:r>
    </w:p>
    <w:p w14:paraId="4E78DD7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（一）适用简易计税方法计税项目对应的进项税额；</w:t>
      </w:r>
    </w:p>
    <w:p w14:paraId="0DD430F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（二）免征增值税项目对应的进项税额；</w:t>
      </w:r>
    </w:p>
    <w:p w14:paraId="206813D5"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（三）非</w:t>
      </w:r>
      <w:proofErr w:type="gramStart"/>
      <w:r w:rsidRPr="001F3EF2">
        <w:rPr>
          <w:rFonts w:ascii="Calibri" w:eastAsia="宋体" w:hAnsi="Calibri" w:hint="eastAsia"/>
          <w:sz w:val="24"/>
          <w:szCs w:val="24"/>
          <w:lang w:eastAsia="zh-CN"/>
        </w:rPr>
        <w:t>正常损失</w:t>
      </w:r>
      <w:proofErr w:type="gramEnd"/>
      <w:r w:rsidRPr="001F3EF2">
        <w:rPr>
          <w:rFonts w:ascii="Calibri" w:eastAsia="宋体" w:hAnsi="Calibri" w:hint="eastAsia"/>
          <w:sz w:val="24"/>
          <w:szCs w:val="24"/>
          <w:lang w:eastAsia="zh-CN"/>
        </w:rPr>
        <w:t>项目对应的进项税额；</w:t>
      </w:r>
    </w:p>
    <w:p w14:paraId="53CD9584"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（四）购进并用于集体福利或者个人消费的货物、服务、无形资产、不动产对应的进项税额；</w:t>
      </w:r>
    </w:p>
    <w:p w14:paraId="10EDB934"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（五）购进并直接用于消费的餐饮服务、居民日常服务和娱乐服务对应的进项税额；</w:t>
      </w:r>
    </w:p>
    <w:p w14:paraId="0AE6C7F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（六）国务院规定的其他进项税额。</w:t>
      </w:r>
    </w:p>
    <w:p w14:paraId="52926B41"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sz w:val="24"/>
          <w:szCs w:val="24"/>
          <w:lang w:eastAsia="zh-CN"/>
        </w:rPr>
        <w:t> </w:t>
      </w:r>
    </w:p>
    <w:p w14:paraId="12445433" w14:textId="512C0F3E"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lastRenderedPageBreak/>
        <w:t>第四章　税收优惠</w:t>
      </w:r>
      <w:r w:rsidRPr="001F3EF2">
        <w:rPr>
          <w:rFonts w:ascii="Calibri" w:eastAsia="宋体" w:hAnsi="Calibri"/>
          <w:sz w:val="24"/>
          <w:szCs w:val="24"/>
          <w:lang w:eastAsia="zh-CN"/>
        </w:rPr>
        <w:t> </w:t>
      </w:r>
    </w:p>
    <w:p w14:paraId="625EEAE9"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第二十三条　小规模纳税人发生应税交易，销售额未达到起征点的，免征增值税；达到起征点的，依照本法规定全额计算缴纳增值税。</w:t>
      </w:r>
    </w:p>
    <w:p w14:paraId="6E66EA4C"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前款规定的起征</w:t>
      </w:r>
      <w:proofErr w:type="gramStart"/>
      <w:r w:rsidRPr="001F3EF2">
        <w:rPr>
          <w:rFonts w:ascii="Calibri" w:eastAsia="宋体" w:hAnsi="Calibri" w:hint="eastAsia"/>
          <w:sz w:val="24"/>
          <w:szCs w:val="24"/>
          <w:lang w:eastAsia="zh-CN"/>
        </w:rPr>
        <w:t>点标准</w:t>
      </w:r>
      <w:proofErr w:type="gramEnd"/>
      <w:r w:rsidRPr="001F3EF2">
        <w:rPr>
          <w:rFonts w:ascii="Calibri" w:eastAsia="宋体" w:hAnsi="Calibri" w:hint="eastAsia"/>
          <w:sz w:val="24"/>
          <w:szCs w:val="24"/>
          <w:lang w:eastAsia="zh-CN"/>
        </w:rPr>
        <w:t>由国务院规定，报全国人民代表大会常务委员会备案。</w:t>
      </w:r>
    </w:p>
    <w:p w14:paraId="7D3756E6"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第二十四条　下列项目免征增值税：</w:t>
      </w:r>
    </w:p>
    <w:p w14:paraId="4F0DA7F8"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（一）农业生产者销售的自产农产品，农业机耕、排灌、病虫害防治、植物保护、农牧保险以及相关技术培训业务，家禽、牲畜、水生动物的配种和疾病防治；</w:t>
      </w:r>
    </w:p>
    <w:p w14:paraId="59F1BD05"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（二）医疗机构提供的医疗服务；</w:t>
      </w:r>
    </w:p>
    <w:p w14:paraId="29ED402F"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（三）古旧图书，自然人销售的自己使用过的物品；</w:t>
      </w:r>
    </w:p>
    <w:p w14:paraId="0DC41CF9"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（四）直接用于科学研究、科学试验和教学的进口仪器、设备；</w:t>
      </w:r>
    </w:p>
    <w:p w14:paraId="37984464"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（五）外国政府、国际组织无偿援助的进口物资和设备；</w:t>
      </w:r>
    </w:p>
    <w:p w14:paraId="67847230"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（六）由残疾人的组织直接进口供残疾人专用的物品，残疾人个人提供的服务；</w:t>
      </w:r>
    </w:p>
    <w:p w14:paraId="5F1D8EA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（七）托儿所、幼儿园、养老机构、残疾人服务机构提供的育养服务，婚姻介绍服务，殡葬服务；</w:t>
      </w:r>
    </w:p>
    <w:p w14:paraId="0BF76AA0"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（八）学校提供的学历教育服务，学生勤工俭学提供的服务；</w:t>
      </w:r>
    </w:p>
    <w:p w14:paraId="2DC2458E"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（九）纪念馆、博物馆、文化馆、文物保护单位管理机构、美术馆、展览馆、书画院、图书馆举办文化活动的门票收入，宗教场所举办文化、宗教活动的门票收入。</w:t>
      </w:r>
    </w:p>
    <w:p w14:paraId="10F332B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前款规定的免税项目具体标准由国务院规定。</w:t>
      </w:r>
    </w:p>
    <w:p w14:paraId="5CEDD0C0"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第二十五条　根据国民经济和社会发展的需要，国务院对支持小</w:t>
      </w:r>
      <w:proofErr w:type="gramStart"/>
      <w:r w:rsidRPr="001F3EF2">
        <w:rPr>
          <w:rFonts w:ascii="Calibri" w:eastAsia="宋体" w:hAnsi="Calibri" w:hint="eastAsia"/>
          <w:sz w:val="24"/>
          <w:szCs w:val="24"/>
          <w:lang w:eastAsia="zh-CN"/>
        </w:rPr>
        <w:t>微企业</w:t>
      </w:r>
      <w:proofErr w:type="gramEnd"/>
      <w:r w:rsidRPr="001F3EF2">
        <w:rPr>
          <w:rFonts w:ascii="Calibri" w:eastAsia="宋体" w:hAnsi="Calibri" w:hint="eastAsia"/>
          <w:sz w:val="24"/>
          <w:szCs w:val="24"/>
          <w:lang w:eastAsia="zh-CN"/>
        </w:rPr>
        <w:t>发展、扶持重点产业、鼓励创新创业就业、公益事业捐赠等情形可以制定增值税专项优惠政策，报全国人民代表大会常务委员会备案。</w:t>
      </w:r>
    </w:p>
    <w:p w14:paraId="2A6E4505"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国务院应当对增值税优惠政策适时开展评估、调整。</w:t>
      </w:r>
    </w:p>
    <w:p w14:paraId="635AA08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第二十六条　纳税人兼营增值税优惠项目的，应当单独核算增值税优惠项目的销售额；未单独核算的项目，不得享受税收优惠。</w:t>
      </w:r>
    </w:p>
    <w:p w14:paraId="26CDB22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第二十七条　纳税人可以放弃增值税优惠；放弃优惠的，在三十六个月内不得享受该项税收优惠，小规模纳税人除外。</w:t>
      </w:r>
    </w:p>
    <w:p w14:paraId="3C38BB8B"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sz w:val="24"/>
          <w:szCs w:val="24"/>
          <w:lang w:eastAsia="zh-CN"/>
        </w:rPr>
        <w:t> </w:t>
      </w:r>
    </w:p>
    <w:p w14:paraId="2231A70B" w14:textId="22519BB6"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lastRenderedPageBreak/>
        <w:t>第五章　征收管理</w:t>
      </w:r>
      <w:r w:rsidRPr="001F3EF2">
        <w:rPr>
          <w:rFonts w:ascii="Calibri" w:eastAsia="宋体" w:hAnsi="Calibri"/>
          <w:sz w:val="24"/>
          <w:szCs w:val="24"/>
          <w:lang w:eastAsia="zh-CN"/>
        </w:rPr>
        <w:t> </w:t>
      </w:r>
    </w:p>
    <w:p w14:paraId="65E20A2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第二十八条　增值税纳税义务发生时间，按照下列规定确定：</w:t>
      </w:r>
    </w:p>
    <w:p w14:paraId="2BACDDCD"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（一）发生应税交易，纳税义务发生时间为收讫销售款项或者取得销售款项索取凭据的当日；先开具发票的，为开具发票的当日。</w:t>
      </w:r>
    </w:p>
    <w:p w14:paraId="21C5D49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（二）发生视同应税交易，纳税义务发生时间为完成视同应税交易的当日。</w:t>
      </w:r>
    </w:p>
    <w:p w14:paraId="3D78A960"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（三）进口货物，纳税义务发生时间为货物报关进口的当日。</w:t>
      </w:r>
    </w:p>
    <w:p w14:paraId="59069487"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增值税扣缴义务发生时间为纳税人增值税纳税义务发生的当日。</w:t>
      </w:r>
    </w:p>
    <w:p w14:paraId="6C7CD1E9"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第二十九条　增值税纳税地点，按照下列规定确定：</w:t>
      </w:r>
    </w:p>
    <w:p w14:paraId="0B8DD3CE"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一）有固定生产经营场所的纳税人，应当向其机构所在地或者居住地主管税务机关申报纳税。总机构和分支机构不在同一县（市）的，应当分别向各自所在地的主管税务机关申报纳税；经省级以上财政、税务主管部门批准，可以由总机构汇总向总机构所在地的主管税务机关申报纳税。</w:t>
      </w:r>
    </w:p>
    <w:p w14:paraId="5B033890"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（二）无固定生产经营场所的纳税人，应当向其应税交易发生地主管税务机关申报纳税；未申报纳税的，由其机构所在地或者居住地主管税务机关补征税款。</w:t>
      </w:r>
    </w:p>
    <w:p w14:paraId="259DC508"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（三）自然人销售或者租赁不动产，转让自然资源使用权，提供建筑服务，应当向不动产所在地、自然资源所在地、建筑服务发生地主管税务机关申报纳税。</w:t>
      </w:r>
    </w:p>
    <w:p w14:paraId="309C79C8"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（四）进口货物的纳税人，应当按照海关规定的地点申报纳税。</w:t>
      </w:r>
    </w:p>
    <w:p w14:paraId="7DF8B82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（五）扣缴义务人，应当向其机构所在地或者居住地主管税务机关申报缴纳扣缴的税款；机构所在地或者居住地在境外的，应当向应税交易发生地主管税务机关申报缴纳扣缴的税款。</w:t>
      </w:r>
    </w:p>
    <w:p w14:paraId="49BCDF5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第三十条　增值税的计税期间分别为十日、十五日、一个月或者一个季度。纳税人的具体计税期间，由主管税务机关根据纳税人应纳税额的大小分别核定。不经常发生应税交易的纳税人，可以按次纳税。</w:t>
      </w:r>
    </w:p>
    <w:p w14:paraId="6DD02713"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纳税人以一个月或者一个季度为一个计税期间的，自期满之日起十五日内申报纳税；以十日或者十五日为一个计税期间的，自次月一日起十五日内申报纳税。</w:t>
      </w:r>
    </w:p>
    <w:p w14:paraId="6577FF62"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扣缴义务人解缴税款的计税期间和申报纳税期限，依照前两款规定执行。</w:t>
      </w:r>
    </w:p>
    <w:p w14:paraId="478D39A1"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纳税人进口货物，应当按照海关规定的期限申报并缴纳税款。</w:t>
      </w:r>
    </w:p>
    <w:p w14:paraId="0FE8A5F7"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第三十一条　纳税人以十日或者十五日为一个计税期间的，应当自期满之日起五日内预缴税款。</w:t>
      </w:r>
    </w:p>
    <w:p w14:paraId="6B33AB5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lastRenderedPageBreak/>
        <w:t xml:space="preserve">　　法律、行政法规对纳税人预缴税款另有规定的，从其规定。</w:t>
      </w:r>
    </w:p>
    <w:p w14:paraId="3841857F"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第三十二条　增值税由税务机关征收，进口货物的增值税由海关代征。</w:t>
      </w:r>
    </w:p>
    <w:p w14:paraId="44AB1EE5"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海关应当将代征增值税和货物出口报关的信息提供给税务机关。</w:t>
      </w:r>
    </w:p>
    <w:p w14:paraId="73CD1526"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个人携带或者寄递进境物品增值税的计征办法由国务院制定，报全国人民代表大会常务委员会备案。</w:t>
      </w:r>
    </w:p>
    <w:p w14:paraId="1DB14A78"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第三十三条　纳税人出口货物或者跨境销售服务、无形资产，适用零税率的，应当向主管税务机关申报办理退（免）税。出口退（免）税的具体办法，由国务院制定。</w:t>
      </w:r>
    </w:p>
    <w:p w14:paraId="35829438"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第三十四条　纳税人应当依法开具和使用增值税发票。增值税发票包括纸质发票和电子发票。电子发票与纸质发票具有同等法律效力。</w:t>
      </w:r>
    </w:p>
    <w:p w14:paraId="6D7CEBC7"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国家积极推广使用电子发票。</w:t>
      </w:r>
    </w:p>
    <w:p w14:paraId="6C6E1D6A"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第三十五条　税务机关与工业和信息化、公安、海关、市场监督管理、人民银行、金融监督管理等部门建立增值税涉税信息共享机制和工作配合机制。</w:t>
      </w:r>
    </w:p>
    <w:p w14:paraId="576B498B"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有关部门应当依照法律、行政法规，在各自职责范围内，支持、协助税务机关开展增值税征收管理。</w:t>
      </w:r>
    </w:p>
    <w:p w14:paraId="49F131D6" w14:textId="77777777"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第三十六条　增值税的征收管理依照本法和《中华人民共和国税收征收管理法》的规定执行。</w:t>
      </w:r>
    </w:p>
    <w:p w14:paraId="54C61395" w14:textId="2FCF6BF6"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 xml:space="preserve">　　第三十七条　纳税人、扣缴义务人、税务机关及其工作人员违反本法规定的，依照《中华人民共和国税收征收管理法》和有关法律、行政法规的规定追究法律责任。</w:t>
      </w:r>
      <w:r w:rsidRPr="001F3EF2">
        <w:rPr>
          <w:rFonts w:ascii="Calibri" w:eastAsia="宋体" w:hAnsi="Calibri"/>
          <w:sz w:val="24"/>
          <w:szCs w:val="24"/>
          <w:lang w:eastAsia="zh-CN"/>
        </w:rPr>
        <w:t> </w:t>
      </w:r>
    </w:p>
    <w:p w14:paraId="2B15FE88" w14:textId="436D83D9" w:rsidR="001F3EF2" w:rsidRPr="001F3EF2" w:rsidRDefault="001F3EF2" w:rsidP="001F3EF2">
      <w:pPr>
        <w:spacing w:line="360" w:lineRule="auto"/>
        <w:rPr>
          <w:rFonts w:ascii="Calibri" w:eastAsia="宋体" w:hAnsi="Calibri"/>
          <w:sz w:val="24"/>
          <w:szCs w:val="24"/>
          <w:lang w:eastAsia="zh-CN"/>
        </w:rPr>
      </w:pPr>
      <w:r w:rsidRPr="001F3EF2">
        <w:rPr>
          <w:rFonts w:ascii="Calibri" w:eastAsia="宋体" w:hAnsi="Calibri" w:hint="eastAsia"/>
          <w:sz w:val="24"/>
          <w:szCs w:val="24"/>
          <w:lang w:eastAsia="zh-CN"/>
        </w:rPr>
        <w:t>第六章　附　　则</w:t>
      </w:r>
      <w:r w:rsidRPr="001F3EF2">
        <w:rPr>
          <w:rFonts w:ascii="Calibri" w:eastAsia="宋体" w:hAnsi="Calibri"/>
          <w:sz w:val="24"/>
          <w:szCs w:val="24"/>
          <w:lang w:eastAsia="zh-CN"/>
        </w:rPr>
        <w:t> </w:t>
      </w:r>
    </w:p>
    <w:p w14:paraId="656EC6E8" w14:textId="5B68009C" w:rsidR="00F90B29" w:rsidRPr="00F90B29" w:rsidRDefault="001F3EF2" w:rsidP="001F3EF2">
      <w:pPr>
        <w:spacing w:line="360" w:lineRule="auto"/>
        <w:rPr>
          <w:rFonts w:asciiTheme="minorEastAsia" w:eastAsiaTheme="minorEastAsia" w:hAnsiTheme="minorEastAsia" w:cs="宋体" w:hint="eastAsia"/>
          <w:color w:val="000000"/>
          <w:sz w:val="24"/>
          <w:szCs w:val="24"/>
          <w:lang w:eastAsia="zh-CN"/>
        </w:rPr>
      </w:pPr>
      <w:r w:rsidRPr="001F3EF2">
        <w:rPr>
          <w:rFonts w:ascii="Calibri" w:eastAsia="宋体" w:hAnsi="Calibri" w:hint="eastAsia"/>
          <w:sz w:val="24"/>
          <w:szCs w:val="24"/>
          <w:lang w:eastAsia="zh-CN"/>
        </w:rPr>
        <w:t xml:space="preserve">　　第三十八条　本法自</w:t>
      </w:r>
      <w:r w:rsidRPr="001F3EF2">
        <w:rPr>
          <w:rFonts w:ascii="Calibri" w:eastAsia="宋体" w:hAnsi="Calibri"/>
          <w:sz w:val="24"/>
          <w:szCs w:val="24"/>
          <w:lang w:eastAsia="zh-CN"/>
        </w:rPr>
        <w:t>2026</w:t>
      </w:r>
      <w:r w:rsidRPr="001F3EF2">
        <w:rPr>
          <w:rFonts w:ascii="Calibri" w:eastAsia="宋体" w:hAnsi="Calibri" w:hint="eastAsia"/>
          <w:sz w:val="24"/>
          <w:szCs w:val="24"/>
          <w:lang w:eastAsia="zh-CN"/>
        </w:rPr>
        <w:t>年</w:t>
      </w:r>
      <w:r w:rsidRPr="001F3EF2">
        <w:rPr>
          <w:rFonts w:ascii="Calibri" w:eastAsia="宋体" w:hAnsi="Calibri"/>
          <w:sz w:val="24"/>
          <w:szCs w:val="24"/>
          <w:lang w:eastAsia="zh-CN"/>
        </w:rPr>
        <w:t>1</w:t>
      </w:r>
      <w:r w:rsidRPr="001F3EF2">
        <w:rPr>
          <w:rFonts w:ascii="Calibri" w:eastAsia="宋体" w:hAnsi="Calibri" w:hint="eastAsia"/>
          <w:sz w:val="24"/>
          <w:szCs w:val="24"/>
          <w:lang w:eastAsia="zh-CN"/>
        </w:rPr>
        <w:t>月</w:t>
      </w:r>
      <w:r w:rsidRPr="001F3EF2">
        <w:rPr>
          <w:rFonts w:ascii="Calibri" w:eastAsia="宋体" w:hAnsi="Calibri"/>
          <w:sz w:val="24"/>
          <w:szCs w:val="24"/>
          <w:lang w:eastAsia="zh-CN"/>
        </w:rPr>
        <w:t>1</w:t>
      </w:r>
      <w:r w:rsidRPr="001F3EF2">
        <w:rPr>
          <w:rFonts w:ascii="Calibri" w:eastAsia="宋体" w:hAnsi="Calibri" w:hint="eastAsia"/>
          <w:sz w:val="24"/>
          <w:szCs w:val="24"/>
          <w:lang w:eastAsia="zh-CN"/>
        </w:rPr>
        <w:t>日起施行。《中华人民共和国增值税暂行条例》同时废止。</w:t>
      </w:r>
      <w:r w:rsidRPr="001F3EF2">
        <w:rPr>
          <w:rFonts w:ascii="Calibri" w:eastAsia="宋体" w:hAnsi="Calibri"/>
          <w:sz w:val="24"/>
          <w:szCs w:val="24"/>
          <w:lang w:eastAsia="zh-CN"/>
        </w:rPr>
        <w:t xml:space="preserve"> </w:t>
      </w:r>
    </w:p>
    <w:p w14:paraId="35E1D170" w14:textId="77777777" w:rsidR="00F90B29" w:rsidRPr="00F90B29" w:rsidRDefault="00F90B29" w:rsidP="00F90B29">
      <w:pPr>
        <w:jc w:val="right"/>
        <w:rPr>
          <w:rFonts w:asciiTheme="minorEastAsia" w:eastAsiaTheme="minorEastAsia" w:hAnsiTheme="minorEastAsia" w:cs="宋体" w:hint="eastAsia"/>
          <w:color w:val="000000"/>
          <w:sz w:val="24"/>
          <w:szCs w:val="24"/>
          <w:lang w:eastAsia="zh-CN"/>
        </w:rPr>
      </w:pPr>
    </w:p>
    <w:p w14:paraId="507F54B9" w14:textId="77777777" w:rsidR="00F90B29" w:rsidRDefault="00F90B29" w:rsidP="00EF7384">
      <w:pPr>
        <w:rPr>
          <w:rFonts w:asciiTheme="minorEastAsia" w:eastAsiaTheme="minorEastAsia" w:hAnsiTheme="minorEastAsia" w:cs="宋体" w:hint="eastAsia"/>
          <w:b/>
          <w:bCs/>
          <w:color w:val="000000"/>
          <w:sz w:val="24"/>
          <w:szCs w:val="24"/>
          <w:lang w:eastAsia="zh-CN"/>
        </w:rPr>
      </w:pPr>
    </w:p>
    <w:p w14:paraId="0846DCC7" w14:textId="2190809B" w:rsidR="00F90B29" w:rsidRDefault="00F90B29" w:rsidP="00F90B29">
      <w:pPr>
        <w:spacing w:beforeLines="50" w:before="156" w:afterLines="50" w:after="156" w:line="360" w:lineRule="auto"/>
        <w:rPr>
          <w:rFonts w:asciiTheme="minorEastAsia" w:eastAsiaTheme="minorEastAsia" w:hAnsiTheme="minorEastAsia" w:cs="宋体" w:hint="eastAsia"/>
          <w:b/>
          <w:color w:val="000000"/>
          <w:sz w:val="24"/>
          <w:szCs w:val="24"/>
          <w:lang w:eastAsia="zh-CN"/>
        </w:rPr>
      </w:pPr>
      <w:r w:rsidRPr="009F74A3">
        <w:rPr>
          <w:rFonts w:asciiTheme="minorEastAsia" w:eastAsiaTheme="minorEastAsia" w:hAnsiTheme="minorEastAsia" w:cs="宋体" w:hint="eastAsia"/>
          <w:b/>
          <w:color w:val="000000"/>
          <w:sz w:val="24"/>
          <w:szCs w:val="24"/>
          <w:lang w:eastAsia="zh-CN"/>
        </w:rPr>
        <w:t>文件分析及提示</w:t>
      </w:r>
    </w:p>
    <w:p w14:paraId="437C743B" w14:textId="27FE4048" w:rsidR="001F3EF2" w:rsidRDefault="001F3EF2" w:rsidP="00F90B29">
      <w:pPr>
        <w:spacing w:beforeLines="50" w:before="156" w:afterLines="50" w:after="156" w:line="360" w:lineRule="auto"/>
        <w:rPr>
          <w:rFonts w:ascii="Calibri" w:eastAsia="宋体" w:hAnsi="Calibri"/>
          <w:sz w:val="24"/>
          <w:szCs w:val="24"/>
          <w:lang w:eastAsia="zh-CN"/>
        </w:rPr>
      </w:pPr>
      <w:r w:rsidRPr="001F3EF2">
        <w:rPr>
          <w:rFonts w:ascii="Calibri" w:eastAsia="宋体" w:hAnsi="Calibri" w:hint="eastAsia"/>
          <w:sz w:val="24"/>
          <w:szCs w:val="24"/>
          <w:lang w:eastAsia="zh-CN"/>
        </w:rPr>
        <w:t>本法自</w:t>
      </w:r>
      <w:r w:rsidRPr="001F3EF2">
        <w:rPr>
          <w:rFonts w:ascii="Calibri" w:eastAsia="宋体" w:hAnsi="Calibri"/>
          <w:sz w:val="24"/>
          <w:szCs w:val="24"/>
          <w:lang w:eastAsia="zh-CN"/>
        </w:rPr>
        <w:t>2026</w:t>
      </w:r>
      <w:r w:rsidRPr="001F3EF2">
        <w:rPr>
          <w:rFonts w:ascii="Calibri" w:eastAsia="宋体" w:hAnsi="Calibri" w:hint="eastAsia"/>
          <w:sz w:val="24"/>
          <w:szCs w:val="24"/>
          <w:lang w:eastAsia="zh-CN"/>
        </w:rPr>
        <w:t>年</w:t>
      </w:r>
      <w:r w:rsidRPr="001F3EF2">
        <w:rPr>
          <w:rFonts w:ascii="Calibri" w:eastAsia="宋体" w:hAnsi="Calibri"/>
          <w:sz w:val="24"/>
          <w:szCs w:val="24"/>
          <w:lang w:eastAsia="zh-CN"/>
        </w:rPr>
        <w:t>1</w:t>
      </w:r>
      <w:r w:rsidRPr="001F3EF2">
        <w:rPr>
          <w:rFonts w:ascii="Calibri" w:eastAsia="宋体" w:hAnsi="Calibri" w:hint="eastAsia"/>
          <w:sz w:val="24"/>
          <w:szCs w:val="24"/>
          <w:lang w:eastAsia="zh-CN"/>
        </w:rPr>
        <w:t>月</w:t>
      </w:r>
      <w:r w:rsidRPr="001F3EF2">
        <w:rPr>
          <w:rFonts w:ascii="Calibri" w:eastAsia="宋体" w:hAnsi="Calibri"/>
          <w:sz w:val="24"/>
          <w:szCs w:val="24"/>
          <w:lang w:eastAsia="zh-CN"/>
        </w:rPr>
        <w:t>1</w:t>
      </w:r>
      <w:r w:rsidRPr="001F3EF2">
        <w:rPr>
          <w:rFonts w:ascii="Calibri" w:eastAsia="宋体" w:hAnsi="Calibri" w:hint="eastAsia"/>
          <w:sz w:val="24"/>
          <w:szCs w:val="24"/>
          <w:lang w:eastAsia="zh-CN"/>
        </w:rPr>
        <w:t>日起施行</w:t>
      </w:r>
      <w:r w:rsidR="005E03FF">
        <w:rPr>
          <w:rFonts w:ascii="Calibri" w:eastAsia="宋体" w:hAnsi="Calibri" w:hint="eastAsia"/>
          <w:sz w:val="24"/>
          <w:szCs w:val="24"/>
          <w:lang w:eastAsia="zh-CN"/>
        </w:rPr>
        <w:t>，目前暂时仍按原办法执行。</w:t>
      </w:r>
    </w:p>
    <w:bookmarkEnd w:id="0"/>
    <w:p w14:paraId="4DBFE7FD" w14:textId="77777777" w:rsidR="001F3EF2" w:rsidRDefault="001F3EF2" w:rsidP="00F90B29">
      <w:pPr>
        <w:spacing w:beforeLines="50" w:before="156" w:afterLines="50" w:after="156" w:line="360" w:lineRule="auto"/>
        <w:rPr>
          <w:rFonts w:asciiTheme="minorEastAsia" w:eastAsiaTheme="minorEastAsia" w:hAnsiTheme="minorEastAsia" w:cs="宋体" w:hint="eastAsia"/>
          <w:b/>
          <w:color w:val="000000"/>
          <w:sz w:val="24"/>
          <w:szCs w:val="24"/>
          <w:lang w:eastAsia="zh-CN"/>
        </w:rPr>
      </w:pPr>
    </w:p>
    <w:sectPr w:rsidR="001F3EF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08C1" w14:textId="77777777" w:rsidR="00B17DB3" w:rsidRDefault="00B17DB3">
      <w:r>
        <w:separator/>
      </w:r>
    </w:p>
  </w:endnote>
  <w:endnote w:type="continuationSeparator" w:id="0">
    <w:p w14:paraId="2C479F12" w14:textId="77777777" w:rsidR="00B17DB3" w:rsidRDefault="00B1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01D1" w14:textId="77777777" w:rsidR="0002320B" w:rsidRDefault="0002320B">
    <w:pPr>
      <w:pStyle w:val="a7"/>
    </w:pPr>
    <w:r>
      <w:rPr>
        <w:noProof/>
        <w:lang w:eastAsia="zh-CN"/>
      </w:rPr>
      <mc:AlternateContent>
        <mc:Choice Requires="wps">
          <w:drawing>
            <wp:anchor distT="0" distB="0" distL="114300" distR="114300" simplePos="0" relativeHeight="251659264" behindDoc="0" locked="0" layoutInCell="1" allowOverlap="1" wp14:anchorId="365C63DE" wp14:editId="117019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87C77D" w14:textId="77777777" w:rsidR="0002320B" w:rsidRDefault="0002320B">
                          <w:pPr>
                            <w:pStyle w:val="a7"/>
                          </w:pPr>
                          <w:r>
                            <w:fldChar w:fldCharType="begin"/>
                          </w:r>
                          <w:r>
                            <w:instrText xml:space="preserve"> PAGE  \* MERGEFORMAT </w:instrText>
                          </w:r>
                          <w:r>
                            <w:fldChar w:fldCharType="separate"/>
                          </w:r>
                          <w:r w:rsidR="00DE1F0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5C63D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487C77D" w14:textId="77777777" w:rsidR="0002320B" w:rsidRDefault="0002320B">
                    <w:pPr>
                      <w:pStyle w:val="a7"/>
                    </w:pPr>
                    <w:r>
                      <w:fldChar w:fldCharType="begin"/>
                    </w:r>
                    <w:r>
                      <w:instrText xml:space="preserve"> PAGE  \* MERGEFORMAT </w:instrText>
                    </w:r>
                    <w:r>
                      <w:fldChar w:fldCharType="separate"/>
                    </w:r>
                    <w:r w:rsidR="00DE1F0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115E" w14:textId="77777777" w:rsidR="00B17DB3" w:rsidRDefault="00B17DB3">
      <w:r>
        <w:separator/>
      </w:r>
    </w:p>
  </w:footnote>
  <w:footnote w:type="continuationSeparator" w:id="0">
    <w:p w14:paraId="7F77CCC1" w14:textId="77777777" w:rsidR="00B17DB3" w:rsidRDefault="00B17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C6014"/>
    <w:multiLevelType w:val="hybridMultilevel"/>
    <w:tmpl w:val="7F4602A4"/>
    <w:lvl w:ilvl="0" w:tplc="788C36AA">
      <w:start w:val="1"/>
      <w:numFmt w:val="decimal"/>
      <w:lvlText w:val="%1."/>
      <w:lvlJc w:val="left"/>
      <w:pPr>
        <w:ind w:left="730" w:hanging="360"/>
      </w:pPr>
      <w:rPr>
        <w:rFonts w:eastAsia="微软雅黑" w:hint="default"/>
      </w:rPr>
    </w:lvl>
    <w:lvl w:ilvl="1" w:tplc="04090019" w:tentative="1">
      <w:start w:val="1"/>
      <w:numFmt w:val="lowerLetter"/>
      <w:lvlText w:val="%2)"/>
      <w:lvlJc w:val="left"/>
      <w:pPr>
        <w:ind w:left="1250" w:hanging="440"/>
      </w:pPr>
    </w:lvl>
    <w:lvl w:ilvl="2" w:tplc="0409001B" w:tentative="1">
      <w:start w:val="1"/>
      <w:numFmt w:val="lowerRoman"/>
      <w:lvlText w:val="%3."/>
      <w:lvlJc w:val="right"/>
      <w:pPr>
        <w:ind w:left="1690" w:hanging="440"/>
      </w:pPr>
    </w:lvl>
    <w:lvl w:ilvl="3" w:tplc="0409000F" w:tentative="1">
      <w:start w:val="1"/>
      <w:numFmt w:val="decimal"/>
      <w:lvlText w:val="%4."/>
      <w:lvlJc w:val="left"/>
      <w:pPr>
        <w:ind w:left="2130" w:hanging="440"/>
      </w:pPr>
    </w:lvl>
    <w:lvl w:ilvl="4" w:tplc="04090019" w:tentative="1">
      <w:start w:val="1"/>
      <w:numFmt w:val="lowerLetter"/>
      <w:lvlText w:val="%5)"/>
      <w:lvlJc w:val="left"/>
      <w:pPr>
        <w:ind w:left="2570" w:hanging="440"/>
      </w:pPr>
    </w:lvl>
    <w:lvl w:ilvl="5" w:tplc="0409001B" w:tentative="1">
      <w:start w:val="1"/>
      <w:numFmt w:val="lowerRoman"/>
      <w:lvlText w:val="%6."/>
      <w:lvlJc w:val="right"/>
      <w:pPr>
        <w:ind w:left="3010" w:hanging="440"/>
      </w:pPr>
    </w:lvl>
    <w:lvl w:ilvl="6" w:tplc="0409000F" w:tentative="1">
      <w:start w:val="1"/>
      <w:numFmt w:val="decimal"/>
      <w:lvlText w:val="%7."/>
      <w:lvlJc w:val="left"/>
      <w:pPr>
        <w:ind w:left="3450" w:hanging="440"/>
      </w:pPr>
    </w:lvl>
    <w:lvl w:ilvl="7" w:tplc="04090019" w:tentative="1">
      <w:start w:val="1"/>
      <w:numFmt w:val="lowerLetter"/>
      <w:lvlText w:val="%8)"/>
      <w:lvlJc w:val="left"/>
      <w:pPr>
        <w:ind w:left="3890" w:hanging="440"/>
      </w:pPr>
    </w:lvl>
    <w:lvl w:ilvl="8" w:tplc="0409001B" w:tentative="1">
      <w:start w:val="1"/>
      <w:numFmt w:val="lowerRoman"/>
      <w:lvlText w:val="%9."/>
      <w:lvlJc w:val="right"/>
      <w:pPr>
        <w:ind w:left="4330" w:hanging="440"/>
      </w:pPr>
    </w:lvl>
  </w:abstractNum>
  <w:abstractNum w:abstractNumId="1" w15:restartNumberingAfterBreak="0">
    <w:nsid w:val="2B11779A"/>
    <w:multiLevelType w:val="hybridMultilevel"/>
    <w:tmpl w:val="A7A617E8"/>
    <w:lvl w:ilvl="0" w:tplc="F95A8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200C36"/>
    <w:multiLevelType w:val="hybridMultilevel"/>
    <w:tmpl w:val="9C1A1F16"/>
    <w:lvl w:ilvl="0" w:tplc="E496CF34">
      <w:start w:val="1"/>
      <w:numFmt w:val="decimal"/>
      <w:lvlText w:val="（%1）"/>
      <w:lvlJc w:val="left"/>
      <w:pPr>
        <w:ind w:left="1200" w:hanging="720"/>
      </w:pPr>
      <w:rPr>
        <w:rFonts w:cs="Times New Roman" w:hint="default"/>
        <w:sz w:val="2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DCA490A"/>
    <w:multiLevelType w:val="hybridMultilevel"/>
    <w:tmpl w:val="D0EC7B9C"/>
    <w:lvl w:ilvl="0" w:tplc="FBA6C7B4">
      <w:start w:val="1"/>
      <w:numFmt w:val="decimal"/>
      <w:lvlText w:val="%1、"/>
      <w:lvlJc w:val="left"/>
      <w:pPr>
        <w:ind w:left="360" w:hanging="360"/>
      </w:pPr>
      <w:rPr>
        <w:rFonts w:asciiTheme="minorEastAsia" w:eastAsiaTheme="minorEastAsia" w:hAnsiTheme="minorEastAsia"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AAA970"/>
    <w:multiLevelType w:val="singleLevel"/>
    <w:tmpl w:val="6DAAA970"/>
    <w:lvl w:ilvl="0">
      <w:start w:val="1"/>
      <w:numFmt w:val="chineseCounting"/>
      <w:suff w:val="nothing"/>
      <w:lvlText w:val="%1、"/>
      <w:lvlJc w:val="left"/>
      <w:rPr>
        <w:rFonts w:hint="eastAsia"/>
      </w:rPr>
    </w:lvl>
  </w:abstractNum>
  <w:abstractNum w:abstractNumId="5" w15:restartNumberingAfterBreak="0">
    <w:nsid w:val="7E7E0023"/>
    <w:multiLevelType w:val="hybridMultilevel"/>
    <w:tmpl w:val="EB5E22C2"/>
    <w:lvl w:ilvl="0" w:tplc="07FA601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28100368">
    <w:abstractNumId w:val="4"/>
  </w:num>
  <w:num w:numId="2" w16cid:durableId="1343052197">
    <w:abstractNumId w:val="1"/>
  </w:num>
  <w:num w:numId="3" w16cid:durableId="1001549105">
    <w:abstractNumId w:val="2"/>
  </w:num>
  <w:num w:numId="4" w16cid:durableId="1822383902">
    <w:abstractNumId w:val="5"/>
  </w:num>
  <w:num w:numId="5" w16cid:durableId="1793787613">
    <w:abstractNumId w:val="3"/>
  </w:num>
  <w:num w:numId="6" w16cid:durableId="11668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71"/>
    <w:rsid w:val="00001C1B"/>
    <w:rsid w:val="000103C8"/>
    <w:rsid w:val="0002320B"/>
    <w:rsid w:val="00024629"/>
    <w:rsid w:val="000276B5"/>
    <w:rsid w:val="00054795"/>
    <w:rsid w:val="000616DE"/>
    <w:rsid w:val="00061FF7"/>
    <w:rsid w:val="000632E4"/>
    <w:rsid w:val="000704E7"/>
    <w:rsid w:val="00070FD9"/>
    <w:rsid w:val="00080D47"/>
    <w:rsid w:val="0009334F"/>
    <w:rsid w:val="000A32DF"/>
    <w:rsid w:val="000E214E"/>
    <w:rsid w:val="000F6488"/>
    <w:rsid w:val="001001BF"/>
    <w:rsid w:val="00105498"/>
    <w:rsid w:val="00105C6E"/>
    <w:rsid w:val="00107A2B"/>
    <w:rsid w:val="0011415B"/>
    <w:rsid w:val="00125C4A"/>
    <w:rsid w:val="00146BA4"/>
    <w:rsid w:val="00151129"/>
    <w:rsid w:val="00152705"/>
    <w:rsid w:val="00157BA8"/>
    <w:rsid w:val="00174DA0"/>
    <w:rsid w:val="00184B4C"/>
    <w:rsid w:val="00184CAE"/>
    <w:rsid w:val="00192613"/>
    <w:rsid w:val="00197996"/>
    <w:rsid w:val="001A2D25"/>
    <w:rsid w:val="001B1E9A"/>
    <w:rsid w:val="001B6A30"/>
    <w:rsid w:val="001C00B8"/>
    <w:rsid w:val="001C03DB"/>
    <w:rsid w:val="001C6E5D"/>
    <w:rsid w:val="001D6A46"/>
    <w:rsid w:val="001E46CC"/>
    <w:rsid w:val="001F3EF2"/>
    <w:rsid w:val="001F6EC5"/>
    <w:rsid w:val="00243CC9"/>
    <w:rsid w:val="00245C61"/>
    <w:rsid w:val="00275AF7"/>
    <w:rsid w:val="00280356"/>
    <w:rsid w:val="00280C84"/>
    <w:rsid w:val="00282AD9"/>
    <w:rsid w:val="00292FB4"/>
    <w:rsid w:val="00293B8F"/>
    <w:rsid w:val="002A2115"/>
    <w:rsid w:val="002B17AE"/>
    <w:rsid w:val="002B6616"/>
    <w:rsid w:val="002C2798"/>
    <w:rsid w:val="002D0379"/>
    <w:rsid w:val="002E0747"/>
    <w:rsid w:val="002E67DC"/>
    <w:rsid w:val="002F36F2"/>
    <w:rsid w:val="002F62B3"/>
    <w:rsid w:val="00302F49"/>
    <w:rsid w:val="00303040"/>
    <w:rsid w:val="00304AC9"/>
    <w:rsid w:val="00312518"/>
    <w:rsid w:val="00312A12"/>
    <w:rsid w:val="0031541D"/>
    <w:rsid w:val="0031554D"/>
    <w:rsid w:val="00326A4D"/>
    <w:rsid w:val="003327EF"/>
    <w:rsid w:val="00332BA6"/>
    <w:rsid w:val="003425C9"/>
    <w:rsid w:val="003632EB"/>
    <w:rsid w:val="00364E75"/>
    <w:rsid w:val="00393D7E"/>
    <w:rsid w:val="003A466F"/>
    <w:rsid w:val="003A475F"/>
    <w:rsid w:val="003A6C85"/>
    <w:rsid w:val="003C2C17"/>
    <w:rsid w:val="003C5E7A"/>
    <w:rsid w:val="003E4B7C"/>
    <w:rsid w:val="003E7971"/>
    <w:rsid w:val="003F40D3"/>
    <w:rsid w:val="00405C54"/>
    <w:rsid w:val="004103BD"/>
    <w:rsid w:val="004227D7"/>
    <w:rsid w:val="00424EFE"/>
    <w:rsid w:val="00441B75"/>
    <w:rsid w:val="004639D9"/>
    <w:rsid w:val="0047485A"/>
    <w:rsid w:val="00480B9B"/>
    <w:rsid w:val="00480BB7"/>
    <w:rsid w:val="0048103A"/>
    <w:rsid w:val="004C2001"/>
    <w:rsid w:val="004C7CEF"/>
    <w:rsid w:val="004D46B5"/>
    <w:rsid w:val="004D5513"/>
    <w:rsid w:val="004D75BC"/>
    <w:rsid w:val="004F0E2F"/>
    <w:rsid w:val="004F3C5E"/>
    <w:rsid w:val="00510E63"/>
    <w:rsid w:val="00522D8C"/>
    <w:rsid w:val="00535720"/>
    <w:rsid w:val="00537548"/>
    <w:rsid w:val="00544919"/>
    <w:rsid w:val="00551CAC"/>
    <w:rsid w:val="00551F08"/>
    <w:rsid w:val="0056749D"/>
    <w:rsid w:val="00582693"/>
    <w:rsid w:val="005865E6"/>
    <w:rsid w:val="0058680A"/>
    <w:rsid w:val="005970B9"/>
    <w:rsid w:val="005A28A4"/>
    <w:rsid w:val="005B3B81"/>
    <w:rsid w:val="005C259F"/>
    <w:rsid w:val="005C345A"/>
    <w:rsid w:val="005C5EC8"/>
    <w:rsid w:val="005C7319"/>
    <w:rsid w:val="005D5A2B"/>
    <w:rsid w:val="005D5D95"/>
    <w:rsid w:val="005E03FF"/>
    <w:rsid w:val="005E7C21"/>
    <w:rsid w:val="005F6D71"/>
    <w:rsid w:val="005F7C13"/>
    <w:rsid w:val="00601441"/>
    <w:rsid w:val="006044E4"/>
    <w:rsid w:val="00610610"/>
    <w:rsid w:val="00615FDF"/>
    <w:rsid w:val="00620D29"/>
    <w:rsid w:val="0062250A"/>
    <w:rsid w:val="00622A52"/>
    <w:rsid w:val="00626F75"/>
    <w:rsid w:val="0063488C"/>
    <w:rsid w:val="0065201D"/>
    <w:rsid w:val="00666DA4"/>
    <w:rsid w:val="00667A67"/>
    <w:rsid w:val="00671BC9"/>
    <w:rsid w:val="00676B7E"/>
    <w:rsid w:val="0068451C"/>
    <w:rsid w:val="006C3874"/>
    <w:rsid w:val="006E6A71"/>
    <w:rsid w:val="006F4EB5"/>
    <w:rsid w:val="006F6A04"/>
    <w:rsid w:val="00700833"/>
    <w:rsid w:val="00721845"/>
    <w:rsid w:val="00723690"/>
    <w:rsid w:val="00723A87"/>
    <w:rsid w:val="007276EF"/>
    <w:rsid w:val="007277C8"/>
    <w:rsid w:val="007324AC"/>
    <w:rsid w:val="0074636C"/>
    <w:rsid w:val="007A557C"/>
    <w:rsid w:val="007A7F20"/>
    <w:rsid w:val="007C6F13"/>
    <w:rsid w:val="007D1584"/>
    <w:rsid w:val="007D7142"/>
    <w:rsid w:val="007F3168"/>
    <w:rsid w:val="00802467"/>
    <w:rsid w:val="00804177"/>
    <w:rsid w:val="00807D48"/>
    <w:rsid w:val="008119FC"/>
    <w:rsid w:val="00814B99"/>
    <w:rsid w:val="00815920"/>
    <w:rsid w:val="00815E30"/>
    <w:rsid w:val="008328EC"/>
    <w:rsid w:val="008424B7"/>
    <w:rsid w:val="00856AC8"/>
    <w:rsid w:val="00856B56"/>
    <w:rsid w:val="008573EA"/>
    <w:rsid w:val="00863FCB"/>
    <w:rsid w:val="00873BEB"/>
    <w:rsid w:val="00887D96"/>
    <w:rsid w:val="008956A8"/>
    <w:rsid w:val="008A4CB6"/>
    <w:rsid w:val="008B15A0"/>
    <w:rsid w:val="008F23C1"/>
    <w:rsid w:val="0090039C"/>
    <w:rsid w:val="009027DA"/>
    <w:rsid w:val="00913B0D"/>
    <w:rsid w:val="00915560"/>
    <w:rsid w:val="00920045"/>
    <w:rsid w:val="0092362A"/>
    <w:rsid w:val="009338C4"/>
    <w:rsid w:val="00934983"/>
    <w:rsid w:val="009415D2"/>
    <w:rsid w:val="00941F2B"/>
    <w:rsid w:val="00942A2D"/>
    <w:rsid w:val="0094338D"/>
    <w:rsid w:val="00943A8F"/>
    <w:rsid w:val="00944125"/>
    <w:rsid w:val="00944E55"/>
    <w:rsid w:val="009510C6"/>
    <w:rsid w:val="00962A09"/>
    <w:rsid w:val="00965755"/>
    <w:rsid w:val="009757F1"/>
    <w:rsid w:val="009773D2"/>
    <w:rsid w:val="0099128B"/>
    <w:rsid w:val="009A7C9F"/>
    <w:rsid w:val="009B231B"/>
    <w:rsid w:val="009C54CC"/>
    <w:rsid w:val="009C5887"/>
    <w:rsid w:val="009D03DE"/>
    <w:rsid w:val="009D4018"/>
    <w:rsid w:val="009E12A8"/>
    <w:rsid w:val="009F74A3"/>
    <w:rsid w:val="00A02EC7"/>
    <w:rsid w:val="00A14E66"/>
    <w:rsid w:val="00A166F4"/>
    <w:rsid w:val="00A349EA"/>
    <w:rsid w:val="00A46303"/>
    <w:rsid w:val="00A51526"/>
    <w:rsid w:val="00A52DF5"/>
    <w:rsid w:val="00A57D5C"/>
    <w:rsid w:val="00A73C7D"/>
    <w:rsid w:val="00A747AF"/>
    <w:rsid w:val="00A869D2"/>
    <w:rsid w:val="00A930D6"/>
    <w:rsid w:val="00A937F8"/>
    <w:rsid w:val="00AB1FFE"/>
    <w:rsid w:val="00AB2BBD"/>
    <w:rsid w:val="00AB5B2F"/>
    <w:rsid w:val="00AB5F4F"/>
    <w:rsid w:val="00AC056A"/>
    <w:rsid w:val="00AC2D4B"/>
    <w:rsid w:val="00AC756A"/>
    <w:rsid w:val="00AD2E30"/>
    <w:rsid w:val="00AD6AB7"/>
    <w:rsid w:val="00B02AF7"/>
    <w:rsid w:val="00B03B21"/>
    <w:rsid w:val="00B07121"/>
    <w:rsid w:val="00B17DB3"/>
    <w:rsid w:val="00B34A32"/>
    <w:rsid w:val="00B36E58"/>
    <w:rsid w:val="00B378B9"/>
    <w:rsid w:val="00B4693C"/>
    <w:rsid w:val="00B47F48"/>
    <w:rsid w:val="00B54632"/>
    <w:rsid w:val="00B55A5F"/>
    <w:rsid w:val="00B90624"/>
    <w:rsid w:val="00BA5A09"/>
    <w:rsid w:val="00BD008A"/>
    <w:rsid w:val="00BD1AD4"/>
    <w:rsid w:val="00BD5444"/>
    <w:rsid w:val="00BD76B3"/>
    <w:rsid w:val="00BE0291"/>
    <w:rsid w:val="00BE08A0"/>
    <w:rsid w:val="00C01FF6"/>
    <w:rsid w:val="00C02462"/>
    <w:rsid w:val="00C069A1"/>
    <w:rsid w:val="00C1325C"/>
    <w:rsid w:val="00C17026"/>
    <w:rsid w:val="00C24814"/>
    <w:rsid w:val="00C24A7E"/>
    <w:rsid w:val="00C5335F"/>
    <w:rsid w:val="00C55031"/>
    <w:rsid w:val="00C56C0A"/>
    <w:rsid w:val="00C57856"/>
    <w:rsid w:val="00C717A5"/>
    <w:rsid w:val="00C71BC2"/>
    <w:rsid w:val="00C7208A"/>
    <w:rsid w:val="00C7237D"/>
    <w:rsid w:val="00C844CD"/>
    <w:rsid w:val="00C94BBB"/>
    <w:rsid w:val="00C96827"/>
    <w:rsid w:val="00CA508B"/>
    <w:rsid w:val="00CB23D2"/>
    <w:rsid w:val="00CB6C94"/>
    <w:rsid w:val="00CB6CEA"/>
    <w:rsid w:val="00CC07CF"/>
    <w:rsid w:val="00CE4BFC"/>
    <w:rsid w:val="00D11EF4"/>
    <w:rsid w:val="00D140E0"/>
    <w:rsid w:val="00D37664"/>
    <w:rsid w:val="00D45843"/>
    <w:rsid w:val="00D614C8"/>
    <w:rsid w:val="00D761FE"/>
    <w:rsid w:val="00D77467"/>
    <w:rsid w:val="00D9647D"/>
    <w:rsid w:val="00DA0FFC"/>
    <w:rsid w:val="00DB1F4D"/>
    <w:rsid w:val="00DC3A12"/>
    <w:rsid w:val="00DD5F5E"/>
    <w:rsid w:val="00DD6848"/>
    <w:rsid w:val="00DE1F0B"/>
    <w:rsid w:val="00DE204A"/>
    <w:rsid w:val="00DE2548"/>
    <w:rsid w:val="00DE7722"/>
    <w:rsid w:val="00DE78EA"/>
    <w:rsid w:val="00DF09C2"/>
    <w:rsid w:val="00DF5AEC"/>
    <w:rsid w:val="00E01A50"/>
    <w:rsid w:val="00E01A70"/>
    <w:rsid w:val="00E21EB7"/>
    <w:rsid w:val="00E2758E"/>
    <w:rsid w:val="00E305A9"/>
    <w:rsid w:val="00E43574"/>
    <w:rsid w:val="00E60FC3"/>
    <w:rsid w:val="00E63EAE"/>
    <w:rsid w:val="00E66A76"/>
    <w:rsid w:val="00E67FB7"/>
    <w:rsid w:val="00E84F60"/>
    <w:rsid w:val="00EA4BDE"/>
    <w:rsid w:val="00EB23C6"/>
    <w:rsid w:val="00EB5BBF"/>
    <w:rsid w:val="00EB6C40"/>
    <w:rsid w:val="00EB7FC3"/>
    <w:rsid w:val="00EC1DC5"/>
    <w:rsid w:val="00EC3513"/>
    <w:rsid w:val="00EC3735"/>
    <w:rsid w:val="00ED01B7"/>
    <w:rsid w:val="00EE00ED"/>
    <w:rsid w:val="00EE2FE9"/>
    <w:rsid w:val="00EE6B9D"/>
    <w:rsid w:val="00EF0374"/>
    <w:rsid w:val="00EF2B0A"/>
    <w:rsid w:val="00EF7384"/>
    <w:rsid w:val="00F07C0C"/>
    <w:rsid w:val="00F15059"/>
    <w:rsid w:val="00F204A4"/>
    <w:rsid w:val="00F22983"/>
    <w:rsid w:val="00F406C5"/>
    <w:rsid w:val="00F4114C"/>
    <w:rsid w:val="00F436C4"/>
    <w:rsid w:val="00F54DBF"/>
    <w:rsid w:val="00F56A48"/>
    <w:rsid w:val="00F62342"/>
    <w:rsid w:val="00F65D7A"/>
    <w:rsid w:val="00F80E89"/>
    <w:rsid w:val="00F85F2A"/>
    <w:rsid w:val="00F90B29"/>
    <w:rsid w:val="00FA73A5"/>
    <w:rsid w:val="00FB598E"/>
    <w:rsid w:val="00FB6466"/>
    <w:rsid w:val="00FF432F"/>
    <w:rsid w:val="00FF7121"/>
    <w:rsid w:val="00FF7168"/>
    <w:rsid w:val="2B886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3CFA1C"/>
  <w15:docId w15:val="{7166C080-E7F0-4B8E-9DF2-6D8BB83A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E7A"/>
    <w:pPr>
      <w:widowControl w:val="0"/>
      <w:jc w:val="both"/>
    </w:pPr>
    <w:rPr>
      <w:rFonts w:ascii="Century" w:eastAsia="MS Mincho" w:hAnsi="Century" w:cs="Times New Roman"/>
      <w:kern w:val="2"/>
      <w:sz w:val="21"/>
      <w:lang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lang w:eastAsia="zh-CN"/>
    </w:rPr>
  </w:style>
  <w:style w:type="paragraph" w:styleId="3">
    <w:name w:val="heading 3"/>
    <w:basedOn w:val="a"/>
    <w:next w:val="a"/>
    <w:link w:val="30"/>
    <w:uiPriority w:val="9"/>
    <w:semiHidden/>
    <w:unhideWhenUsed/>
    <w:qFormat/>
    <w:rsid w:val="005970B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qFormat/>
    <w:pPr>
      <w:tabs>
        <w:tab w:val="center" w:pos="4252"/>
        <w:tab w:val="right" w:pos="8504"/>
      </w:tabs>
      <w:snapToGrid w:val="0"/>
    </w:pPr>
    <w:rPr>
      <w:rFonts w:asciiTheme="minorHAnsi" w:eastAsiaTheme="minorEastAsia" w:hAnsiTheme="minorHAnsi" w:cstheme="minorBidi"/>
      <w:szCs w:val="22"/>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lang w:eastAsia="zh-CN"/>
    </w:rPr>
  </w:style>
  <w:style w:type="character" w:styleId="ac">
    <w:name w:val="Strong"/>
    <w:basedOn w:val="a0"/>
    <w:uiPriority w:val="22"/>
    <w:qFormat/>
    <w:rPr>
      <w:b/>
      <w:bCs/>
    </w:rPr>
  </w:style>
  <w:style w:type="character" w:styleId="ad">
    <w:name w:val="Hyperlink"/>
    <w:basedOn w:val="a0"/>
    <w:uiPriority w:val="99"/>
    <w:unhideWhenUsed/>
    <w:rPr>
      <w:color w:val="0563C1" w:themeColor="hyperlink"/>
      <w:u w:val="single"/>
    </w:rPr>
  </w:style>
  <w:style w:type="character" w:customStyle="1" w:styleId="aa">
    <w:name w:val="页眉 字符"/>
    <w:link w:val="a9"/>
    <w:rPr>
      <w:lang w:eastAsia="ja-JP"/>
    </w:rPr>
  </w:style>
  <w:style w:type="character" w:customStyle="1" w:styleId="Char1">
    <w:name w:val="页眉 Char1"/>
    <w:basedOn w:val="a0"/>
    <w:uiPriority w:val="99"/>
    <w:semiHidden/>
    <w:qFormat/>
    <w:rPr>
      <w:rFonts w:ascii="Century" w:eastAsia="MS Mincho" w:hAnsi="Century" w:cs="Times New Roman"/>
      <w:sz w:val="18"/>
      <w:szCs w:val="18"/>
      <w:lang w:eastAsia="ja-JP"/>
    </w:rPr>
  </w:style>
  <w:style w:type="paragraph" w:styleId="ae">
    <w:name w:val="List Paragraph"/>
    <w:basedOn w:val="a"/>
    <w:uiPriority w:val="34"/>
    <w:qFormat/>
    <w:pPr>
      <w:ind w:firstLineChars="200" w:firstLine="420"/>
    </w:pPr>
  </w:style>
  <w:style w:type="character" w:customStyle="1" w:styleId="a8">
    <w:name w:val="页脚 字符"/>
    <w:basedOn w:val="a0"/>
    <w:link w:val="a7"/>
    <w:uiPriority w:val="99"/>
    <w:rPr>
      <w:rFonts w:ascii="Century" w:eastAsia="MS Mincho" w:hAnsi="Century" w:cs="Times New Roman"/>
      <w:sz w:val="18"/>
      <w:szCs w:val="18"/>
      <w:lang w:eastAsia="ja-JP"/>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4">
    <w:name w:val="日期 字符"/>
    <w:basedOn w:val="a0"/>
    <w:link w:val="a3"/>
    <w:uiPriority w:val="99"/>
    <w:semiHidden/>
    <w:qFormat/>
    <w:rPr>
      <w:rFonts w:ascii="Century" w:eastAsia="MS Mincho" w:hAnsi="Century" w:cs="Times New Roman"/>
      <w:szCs w:val="20"/>
      <w:lang w:eastAsia="ja-JP"/>
    </w:rPr>
  </w:style>
  <w:style w:type="character" w:customStyle="1" w:styleId="10">
    <w:name w:val="标题 1 字符"/>
    <w:basedOn w:val="a0"/>
    <w:link w:val="1"/>
    <w:uiPriority w:val="9"/>
    <w:rPr>
      <w:rFonts w:ascii="Century" w:eastAsia="MS Mincho" w:hAnsi="Century" w:cs="Times New Roman"/>
      <w:b/>
      <w:bCs/>
      <w:kern w:val="44"/>
      <w:sz w:val="44"/>
      <w:szCs w:val="44"/>
      <w:lang w:eastAsia="ja-JP"/>
    </w:rPr>
  </w:style>
  <w:style w:type="character" w:customStyle="1" w:styleId="hao11">
    <w:name w:val="hao11"/>
    <w:basedOn w:val="a0"/>
    <w:rPr>
      <w:color w:val="DF0000"/>
      <w:sz w:val="24"/>
      <w:szCs w:val="24"/>
    </w:rPr>
  </w:style>
  <w:style w:type="character" w:customStyle="1" w:styleId="dhgao2">
    <w:name w:val="dhgao2"/>
    <w:basedOn w:val="a0"/>
  </w:style>
  <w:style w:type="character" w:customStyle="1" w:styleId="fontstyle01">
    <w:name w:val="fontstyle01"/>
    <w:basedOn w:val="a0"/>
    <w:rPr>
      <w:rFonts w:ascii="宋体" w:eastAsia="宋体" w:hAnsi="宋体" w:hint="eastAsia"/>
      <w:color w:val="333333"/>
      <w:sz w:val="22"/>
      <w:szCs w:val="22"/>
    </w:rPr>
  </w:style>
  <w:style w:type="character" w:customStyle="1" w:styleId="a6">
    <w:name w:val="批注框文本 字符"/>
    <w:basedOn w:val="a0"/>
    <w:link w:val="a5"/>
    <w:uiPriority w:val="99"/>
    <w:semiHidden/>
    <w:rPr>
      <w:rFonts w:ascii="Century" w:eastAsia="MS Mincho" w:hAnsi="Century" w:cs="Times New Roman"/>
      <w:sz w:val="18"/>
      <w:szCs w:val="18"/>
      <w:lang w:eastAsia="ja-JP"/>
    </w:rPr>
  </w:style>
  <w:style w:type="character" w:customStyle="1" w:styleId="laiyuan3">
    <w:name w:val="laiyuan3"/>
    <w:basedOn w:val="a0"/>
    <w:rsid w:val="00FB6466"/>
    <w:rPr>
      <w:color w:val="9A9791"/>
      <w:sz w:val="21"/>
      <w:szCs w:val="21"/>
    </w:rPr>
  </w:style>
  <w:style w:type="character" w:customStyle="1" w:styleId="hao1">
    <w:name w:val="hao1"/>
    <w:basedOn w:val="a0"/>
    <w:rsid w:val="00D140E0"/>
  </w:style>
  <w:style w:type="paragraph" w:customStyle="1" w:styleId="text">
    <w:name w:val="text"/>
    <w:basedOn w:val="a"/>
    <w:rsid w:val="0068451C"/>
    <w:pPr>
      <w:widowControl/>
      <w:spacing w:before="100" w:beforeAutospacing="1" w:after="100" w:afterAutospacing="1"/>
      <w:jc w:val="left"/>
    </w:pPr>
    <w:rPr>
      <w:rFonts w:ascii="宋体" w:eastAsia="宋体" w:hAnsi="宋体" w:cs="宋体"/>
      <w:kern w:val="0"/>
      <w:sz w:val="24"/>
      <w:szCs w:val="24"/>
      <w:lang w:eastAsia="zh-CN"/>
    </w:rPr>
  </w:style>
  <w:style w:type="character" w:customStyle="1" w:styleId="30">
    <w:name w:val="标题 3 字符"/>
    <w:basedOn w:val="a0"/>
    <w:link w:val="3"/>
    <w:uiPriority w:val="9"/>
    <w:semiHidden/>
    <w:rsid w:val="005970B9"/>
    <w:rPr>
      <w:rFonts w:ascii="Century" w:eastAsia="MS Mincho" w:hAnsi="Century" w:cs="Times New Roman"/>
      <w:b/>
      <w:bCs/>
      <w:kern w:val="2"/>
      <w:sz w:val="32"/>
      <w:szCs w:val="32"/>
      <w:lang w:eastAsia="ja-JP"/>
    </w:rPr>
  </w:style>
  <w:style w:type="character" w:styleId="af">
    <w:name w:val="Unresolved Mention"/>
    <w:basedOn w:val="a0"/>
    <w:uiPriority w:val="99"/>
    <w:semiHidden/>
    <w:unhideWhenUsed/>
    <w:rsid w:val="0059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234">
      <w:bodyDiv w:val="1"/>
      <w:marLeft w:val="0"/>
      <w:marRight w:val="0"/>
      <w:marTop w:val="0"/>
      <w:marBottom w:val="0"/>
      <w:divBdr>
        <w:top w:val="none" w:sz="0" w:space="0" w:color="auto"/>
        <w:left w:val="none" w:sz="0" w:space="0" w:color="auto"/>
        <w:bottom w:val="none" w:sz="0" w:space="0" w:color="auto"/>
        <w:right w:val="none" w:sz="0" w:space="0" w:color="auto"/>
      </w:divBdr>
    </w:div>
    <w:div w:id="192424080">
      <w:bodyDiv w:val="1"/>
      <w:marLeft w:val="0"/>
      <w:marRight w:val="0"/>
      <w:marTop w:val="0"/>
      <w:marBottom w:val="0"/>
      <w:divBdr>
        <w:top w:val="none" w:sz="0" w:space="0" w:color="auto"/>
        <w:left w:val="none" w:sz="0" w:space="0" w:color="auto"/>
        <w:bottom w:val="none" w:sz="0" w:space="0" w:color="auto"/>
        <w:right w:val="none" w:sz="0" w:space="0" w:color="auto"/>
      </w:divBdr>
    </w:div>
    <w:div w:id="204682395">
      <w:bodyDiv w:val="1"/>
      <w:marLeft w:val="0"/>
      <w:marRight w:val="0"/>
      <w:marTop w:val="0"/>
      <w:marBottom w:val="0"/>
      <w:divBdr>
        <w:top w:val="none" w:sz="0" w:space="0" w:color="auto"/>
        <w:left w:val="none" w:sz="0" w:space="0" w:color="auto"/>
        <w:bottom w:val="none" w:sz="0" w:space="0" w:color="auto"/>
        <w:right w:val="none" w:sz="0" w:space="0" w:color="auto"/>
      </w:divBdr>
      <w:divsChild>
        <w:div w:id="944070293">
          <w:marLeft w:val="0"/>
          <w:marRight w:val="0"/>
          <w:marTop w:val="100"/>
          <w:marBottom w:val="100"/>
          <w:divBdr>
            <w:top w:val="none" w:sz="0" w:space="0" w:color="auto"/>
            <w:left w:val="none" w:sz="0" w:space="0" w:color="auto"/>
            <w:bottom w:val="none" w:sz="0" w:space="0" w:color="auto"/>
            <w:right w:val="none" w:sz="0" w:space="0" w:color="auto"/>
          </w:divBdr>
          <w:divsChild>
            <w:div w:id="1574588430">
              <w:marLeft w:val="0"/>
              <w:marRight w:val="0"/>
              <w:marTop w:val="0"/>
              <w:marBottom w:val="0"/>
              <w:divBdr>
                <w:top w:val="single" w:sz="6" w:space="0" w:color="DEDCD8"/>
                <w:left w:val="single" w:sz="6" w:space="0" w:color="DEDCD8"/>
                <w:bottom w:val="single" w:sz="6" w:space="0" w:color="DEDCD8"/>
                <w:right w:val="single" w:sz="6" w:space="0" w:color="DEDCD8"/>
              </w:divBdr>
              <w:divsChild>
                <w:div w:id="9220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6585">
      <w:bodyDiv w:val="1"/>
      <w:marLeft w:val="0"/>
      <w:marRight w:val="0"/>
      <w:marTop w:val="0"/>
      <w:marBottom w:val="0"/>
      <w:divBdr>
        <w:top w:val="none" w:sz="0" w:space="0" w:color="auto"/>
        <w:left w:val="none" w:sz="0" w:space="0" w:color="auto"/>
        <w:bottom w:val="none" w:sz="0" w:space="0" w:color="auto"/>
        <w:right w:val="none" w:sz="0" w:space="0" w:color="auto"/>
      </w:divBdr>
      <w:divsChild>
        <w:div w:id="1251354167">
          <w:marLeft w:val="0"/>
          <w:marRight w:val="0"/>
          <w:marTop w:val="100"/>
          <w:marBottom w:val="100"/>
          <w:divBdr>
            <w:top w:val="none" w:sz="0" w:space="0" w:color="auto"/>
            <w:left w:val="none" w:sz="0" w:space="0" w:color="auto"/>
            <w:bottom w:val="none" w:sz="0" w:space="0" w:color="auto"/>
            <w:right w:val="none" w:sz="0" w:space="0" w:color="auto"/>
          </w:divBdr>
          <w:divsChild>
            <w:div w:id="307439807">
              <w:marLeft w:val="0"/>
              <w:marRight w:val="0"/>
              <w:marTop w:val="0"/>
              <w:marBottom w:val="0"/>
              <w:divBdr>
                <w:top w:val="single" w:sz="6" w:space="0" w:color="DEDCD8"/>
                <w:left w:val="single" w:sz="6" w:space="0" w:color="DEDCD8"/>
                <w:bottom w:val="single" w:sz="6" w:space="0" w:color="DEDCD8"/>
                <w:right w:val="single" w:sz="6" w:space="0" w:color="DEDCD8"/>
              </w:divBdr>
              <w:divsChild>
                <w:div w:id="1845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1060">
      <w:bodyDiv w:val="1"/>
      <w:marLeft w:val="0"/>
      <w:marRight w:val="0"/>
      <w:marTop w:val="0"/>
      <w:marBottom w:val="0"/>
      <w:divBdr>
        <w:top w:val="none" w:sz="0" w:space="0" w:color="auto"/>
        <w:left w:val="none" w:sz="0" w:space="0" w:color="auto"/>
        <w:bottom w:val="none" w:sz="0" w:space="0" w:color="auto"/>
        <w:right w:val="none" w:sz="0" w:space="0" w:color="auto"/>
      </w:divBdr>
    </w:div>
    <w:div w:id="344720561">
      <w:bodyDiv w:val="1"/>
      <w:marLeft w:val="0"/>
      <w:marRight w:val="0"/>
      <w:marTop w:val="0"/>
      <w:marBottom w:val="0"/>
      <w:divBdr>
        <w:top w:val="none" w:sz="0" w:space="0" w:color="auto"/>
        <w:left w:val="none" w:sz="0" w:space="0" w:color="auto"/>
        <w:bottom w:val="none" w:sz="0" w:space="0" w:color="auto"/>
        <w:right w:val="none" w:sz="0" w:space="0" w:color="auto"/>
      </w:divBdr>
      <w:divsChild>
        <w:div w:id="1636717474">
          <w:marLeft w:val="0"/>
          <w:marRight w:val="0"/>
          <w:marTop w:val="100"/>
          <w:marBottom w:val="100"/>
          <w:divBdr>
            <w:top w:val="none" w:sz="0" w:space="0" w:color="auto"/>
            <w:left w:val="none" w:sz="0" w:space="0" w:color="auto"/>
            <w:bottom w:val="none" w:sz="0" w:space="0" w:color="auto"/>
            <w:right w:val="none" w:sz="0" w:space="0" w:color="auto"/>
          </w:divBdr>
          <w:divsChild>
            <w:div w:id="534583337">
              <w:marLeft w:val="0"/>
              <w:marRight w:val="0"/>
              <w:marTop w:val="0"/>
              <w:marBottom w:val="0"/>
              <w:divBdr>
                <w:top w:val="single" w:sz="6" w:space="0" w:color="DEDCD8"/>
                <w:left w:val="single" w:sz="6" w:space="0" w:color="DEDCD8"/>
                <w:bottom w:val="single" w:sz="6" w:space="0" w:color="DEDCD8"/>
                <w:right w:val="single" w:sz="6" w:space="0" w:color="DEDCD8"/>
              </w:divBdr>
              <w:divsChild>
                <w:div w:id="7862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7075">
      <w:bodyDiv w:val="1"/>
      <w:marLeft w:val="0"/>
      <w:marRight w:val="0"/>
      <w:marTop w:val="0"/>
      <w:marBottom w:val="0"/>
      <w:divBdr>
        <w:top w:val="none" w:sz="0" w:space="0" w:color="auto"/>
        <w:left w:val="none" w:sz="0" w:space="0" w:color="auto"/>
        <w:bottom w:val="none" w:sz="0" w:space="0" w:color="auto"/>
        <w:right w:val="none" w:sz="0" w:space="0" w:color="auto"/>
      </w:divBdr>
      <w:divsChild>
        <w:div w:id="967511655">
          <w:marLeft w:val="0"/>
          <w:marRight w:val="0"/>
          <w:marTop w:val="100"/>
          <w:marBottom w:val="100"/>
          <w:divBdr>
            <w:top w:val="none" w:sz="0" w:space="0" w:color="auto"/>
            <w:left w:val="none" w:sz="0" w:space="0" w:color="auto"/>
            <w:bottom w:val="none" w:sz="0" w:space="0" w:color="auto"/>
            <w:right w:val="none" w:sz="0" w:space="0" w:color="auto"/>
          </w:divBdr>
          <w:divsChild>
            <w:div w:id="1337878677">
              <w:marLeft w:val="0"/>
              <w:marRight w:val="0"/>
              <w:marTop w:val="0"/>
              <w:marBottom w:val="0"/>
              <w:divBdr>
                <w:top w:val="single" w:sz="6" w:space="0" w:color="DEDCD8"/>
                <w:left w:val="single" w:sz="6" w:space="0" w:color="DEDCD8"/>
                <w:bottom w:val="single" w:sz="6" w:space="0" w:color="DEDCD8"/>
                <w:right w:val="single" w:sz="6" w:space="0" w:color="DEDCD8"/>
              </w:divBdr>
              <w:divsChild>
                <w:div w:id="1651785784">
                  <w:marLeft w:val="0"/>
                  <w:marRight w:val="0"/>
                  <w:marTop w:val="0"/>
                  <w:marBottom w:val="0"/>
                  <w:divBdr>
                    <w:top w:val="none" w:sz="0" w:space="0" w:color="auto"/>
                    <w:left w:val="none" w:sz="0" w:space="0" w:color="auto"/>
                    <w:bottom w:val="single" w:sz="6" w:space="0" w:color="DEDCD8"/>
                    <w:right w:val="none" w:sz="0" w:space="0" w:color="auto"/>
                  </w:divBdr>
                  <w:divsChild>
                    <w:div w:id="18648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28660">
      <w:bodyDiv w:val="1"/>
      <w:marLeft w:val="0"/>
      <w:marRight w:val="0"/>
      <w:marTop w:val="0"/>
      <w:marBottom w:val="0"/>
      <w:divBdr>
        <w:top w:val="none" w:sz="0" w:space="0" w:color="auto"/>
        <w:left w:val="none" w:sz="0" w:space="0" w:color="auto"/>
        <w:bottom w:val="none" w:sz="0" w:space="0" w:color="auto"/>
        <w:right w:val="none" w:sz="0" w:space="0" w:color="auto"/>
      </w:divBdr>
    </w:div>
    <w:div w:id="525944298">
      <w:bodyDiv w:val="1"/>
      <w:marLeft w:val="0"/>
      <w:marRight w:val="0"/>
      <w:marTop w:val="0"/>
      <w:marBottom w:val="0"/>
      <w:divBdr>
        <w:top w:val="none" w:sz="0" w:space="0" w:color="auto"/>
        <w:left w:val="none" w:sz="0" w:space="0" w:color="auto"/>
        <w:bottom w:val="none" w:sz="0" w:space="0" w:color="auto"/>
        <w:right w:val="none" w:sz="0" w:space="0" w:color="auto"/>
      </w:divBdr>
      <w:divsChild>
        <w:div w:id="411245827">
          <w:marLeft w:val="0"/>
          <w:marRight w:val="0"/>
          <w:marTop w:val="100"/>
          <w:marBottom w:val="100"/>
          <w:divBdr>
            <w:top w:val="none" w:sz="0" w:space="0" w:color="auto"/>
            <w:left w:val="none" w:sz="0" w:space="0" w:color="auto"/>
            <w:bottom w:val="none" w:sz="0" w:space="0" w:color="auto"/>
            <w:right w:val="none" w:sz="0" w:space="0" w:color="auto"/>
          </w:divBdr>
          <w:divsChild>
            <w:div w:id="1527135964">
              <w:marLeft w:val="0"/>
              <w:marRight w:val="0"/>
              <w:marTop w:val="0"/>
              <w:marBottom w:val="0"/>
              <w:divBdr>
                <w:top w:val="single" w:sz="6" w:space="0" w:color="DEDCD8"/>
                <w:left w:val="single" w:sz="6" w:space="0" w:color="DEDCD8"/>
                <w:bottom w:val="single" w:sz="6" w:space="0" w:color="DEDCD8"/>
                <w:right w:val="single" w:sz="6" w:space="0" w:color="DEDCD8"/>
              </w:divBdr>
              <w:divsChild>
                <w:div w:id="1495414538">
                  <w:marLeft w:val="0"/>
                  <w:marRight w:val="0"/>
                  <w:marTop w:val="0"/>
                  <w:marBottom w:val="0"/>
                  <w:divBdr>
                    <w:top w:val="none" w:sz="0" w:space="0" w:color="auto"/>
                    <w:left w:val="none" w:sz="0" w:space="0" w:color="auto"/>
                    <w:bottom w:val="none" w:sz="0" w:space="0" w:color="auto"/>
                    <w:right w:val="none" w:sz="0" w:space="0" w:color="auto"/>
                  </w:divBdr>
                </w:div>
                <w:div w:id="2076009795">
                  <w:marLeft w:val="0"/>
                  <w:marRight w:val="0"/>
                  <w:marTop w:val="0"/>
                  <w:marBottom w:val="0"/>
                  <w:divBdr>
                    <w:top w:val="none" w:sz="0" w:space="0" w:color="auto"/>
                    <w:left w:val="none" w:sz="0" w:space="0" w:color="auto"/>
                    <w:bottom w:val="none" w:sz="0" w:space="0" w:color="auto"/>
                    <w:right w:val="none" w:sz="0" w:space="0" w:color="auto"/>
                  </w:divBdr>
                  <w:divsChild>
                    <w:div w:id="83113781">
                      <w:marLeft w:val="75"/>
                      <w:marRight w:val="0"/>
                      <w:marTop w:val="0"/>
                      <w:marBottom w:val="0"/>
                      <w:divBdr>
                        <w:top w:val="none" w:sz="0" w:space="0" w:color="auto"/>
                        <w:left w:val="none" w:sz="0" w:space="0" w:color="auto"/>
                        <w:bottom w:val="none" w:sz="0" w:space="0" w:color="auto"/>
                        <w:right w:val="none" w:sz="0" w:space="0" w:color="auto"/>
                      </w:divBdr>
                      <w:divsChild>
                        <w:div w:id="564880137">
                          <w:marLeft w:val="0"/>
                          <w:marRight w:val="0"/>
                          <w:marTop w:val="0"/>
                          <w:marBottom w:val="0"/>
                          <w:divBdr>
                            <w:top w:val="none" w:sz="0" w:space="0" w:color="auto"/>
                            <w:left w:val="none" w:sz="0" w:space="0" w:color="auto"/>
                            <w:bottom w:val="none" w:sz="0" w:space="0" w:color="auto"/>
                            <w:right w:val="none" w:sz="0" w:space="0" w:color="auto"/>
                          </w:divBdr>
                          <w:divsChild>
                            <w:div w:id="1623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1490">
                  <w:marLeft w:val="150"/>
                  <w:marRight w:val="0"/>
                  <w:marTop w:val="0"/>
                  <w:marBottom w:val="0"/>
                  <w:divBdr>
                    <w:top w:val="none" w:sz="0" w:space="0" w:color="auto"/>
                    <w:left w:val="none" w:sz="0" w:space="0" w:color="auto"/>
                    <w:bottom w:val="none" w:sz="0" w:space="0" w:color="auto"/>
                    <w:right w:val="none" w:sz="0" w:space="0" w:color="auto"/>
                  </w:divBdr>
                </w:div>
                <w:div w:id="1811704032">
                  <w:marLeft w:val="0"/>
                  <w:marRight w:val="0"/>
                  <w:marTop w:val="0"/>
                  <w:marBottom w:val="0"/>
                  <w:divBdr>
                    <w:top w:val="none" w:sz="0" w:space="0" w:color="auto"/>
                    <w:left w:val="none" w:sz="0" w:space="0" w:color="auto"/>
                    <w:bottom w:val="none" w:sz="0" w:space="0" w:color="auto"/>
                    <w:right w:val="none" w:sz="0" w:space="0" w:color="auto"/>
                  </w:divBdr>
                </w:div>
                <w:div w:id="290937124">
                  <w:marLeft w:val="0"/>
                  <w:marRight w:val="0"/>
                  <w:marTop w:val="0"/>
                  <w:marBottom w:val="300"/>
                  <w:divBdr>
                    <w:top w:val="single" w:sz="6" w:space="8" w:color="666666"/>
                    <w:left w:val="single" w:sz="6" w:space="11" w:color="666666"/>
                    <w:bottom w:val="single" w:sz="6" w:space="10" w:color="666666"/>
                    <w:right w:val="single" w:sz="6" w:space="11" w:color="666666"/>
                  </w:divBdr>
                </w:div>
              </w:divsChild>
            </w:div>
          </w:divsChild>
        </w:div>
      </w:divsChild>
    </w:div>
    <w:div w:id="580913667">
      <w:bodyDiv w:val="1"/>
      <w:marLeft w:val="0"/>
      <w:marRight w:val="0"/>
      <w:marTop w:val="0"/>
      <w:marBottom w:val="0"/>
      <w:divBdr>
        <w:top w:val="none" w:sz="0" w:space="0" w:color="auto"/>
        <w:left w:val="none" w:sz="0" w:space="0" w:color="auto"/>
        <w:bottom w:val="none" w:sz="0" w:space="0" w:color="auto"/>
        <w:right w:val="none" w:sz="0" w:space="0" w:color="auto"/>
      </w:divBdr>
      <w:divsChild>
        <w:div w:id="423040219">
          <w:marLeft w:val="0"/>
          <w:marRight w:val="0"/>
          <w:marTop w:val="0"/>
          <w:marBottom w:val="375"/>
          <w:divBdr>
            <w:top w:val="none" w:sz="0" w:space="0" w:color="auto"/>
            <w:left w:val="none" w:sz="0" w:space="0" w:color="auto"/>
            <w:bottom w:val="none" w:sz="0" w:space="0" w:color="auto"/>
            <w:right w:val="none" w:sz="0" w:space="0" w:color="auto"/>
          </w:divBdr>
        </w:div>
      </w:divsChild>
    </w:div>
    <w:div w:id="582570853">
      <w:bodyDiv w:val="1"/>
      <w:marLeft w:val="0"/>
      <w:marRight w:val="0"/>
      <w:marTop w:val="0"/>
      <w:marBottom w:val="0"/>
      <w:divBdr>
        <w:top w:val="none" w:sz="0" w:space="0" w:color="auto"/>
        <w:left w:val="none" w:sz="0" w:space="0" w:color="auto"/>
        <w:bottom w:val="none" w:sz="0" w:space="0" w:color="auto"/>
        <w:right w:val="none" w:sz="0" w:space="0" w:color="auto"/>
      </w:divBdr>
    </w:div>
    <w:div w:id="877475376">
      <w:bodyDiv w:val="1"/>
      <w:marLeft w:val="0"/>
      <w:marRight w:val="0"/>
      <w:marTop w:val="0"/>
      <w:marBottom w:val="0"/>
      <w:divBdr>
        <w:top w:val="none" w:sz="0" w:space="0" w:color="auto"/>
        <w:left w:val="none" w:sz="0" w:space="0" w:color="auto"/>
        <w:bottom w:val="none" w:sz="0" w:space="0" w:color="auto"/>
        <w:right w:val="none" w:sz="0" w:space="0" w:color="auto"/>
      </w:divBdr>
      <w:divsChild>
        <w:div w:id="1507592821">
          <w:marLeft w:val="0"/>
          <w:marRight w:val="0"/>
          <w:marTop w:val="100"/>
          <w:marBottom w:val="100"/>
          <w:divBdr>
            <w:top w:val="none" w:sz="0" w:space="0" w:color="auto"/>
            <w:left w:val="none" w:sz="0" w:space="0" w:color="auto"/>
            <w:bottom w:val="none" w:sz="0" w:space="0" w:color="auto"/>
            <w:right w:val="none" w:sz="0" w:space="0" w:color="auto"/>
          </w:divBdr>
          <w:divsChild>
            <w:div w:id="1720012424">
              <w:marLeft w:val="0"/>
              <w:marRight w:val="0"/>
              <w:marTop w:val="0"/>
              <w:marBottom w:val="0"/>
              <w:divBdr>
                <w:top w:val="single" w:sz="6" w:space="0" w:color="DEDCD8"/>
                <w:left w:val="single" w:sz="6" w:space="0" w:color="DEDCD8"/>
                <w:bottom w:val="single" w:sz="6" w:space="0" w:color="DEDCD8"/>
                <w:right w:val="single" w:sz="6" w:space="0" w:color="DEDCD8"/>
              </w:divBdr>
              <w:divsChild>
                <w:div w:id="6593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4452">
      <w:bodyDiv w:val="1"/>
      <w:marLeft w:val="0"/>
      <w:marRight w:val="0"/>
      <w:marTop w:val="0"/>
      <w:marBottom w:val="0"/>
      <w:divBdr>
        <w:top w:val="none" w:sz="0" w:space="0" w:color="auto"/>
        <w:left w:val="none" w:sz="0" w:space="0" w:color="auto"/>
        <w:bottom w:val="none" w:sz="0" w:space="0" w:color="auto"/>
        <w:right w:val="none" w:sz="0" w:space="0" w:color="auto"/>
      </w:divBdr>
    </w:div>
    <w:div w:id="1020201818">
      <w:bodyDiv w:val="1"/>
      <w:marLeft w:val="0"/>
      <w:marRight w:val="0"/>
      <w:marTop w:val="0"/>
      <w:marBottom w:val="0"/>
      <w:divBdr>
        <w:top w:val="none" w:sz="0" w:space="0" w:color="auto"/>
        <w:left w:val="none" w:sz="0" w:space="0" w:color="auto"/>
        <w:bottom w:val="none" w:sz="0" w:space="0" w:color="auto"/>
        <w:right w:val="none" w:sz="0" w:space="0" w:color="auto"/>
      </w:divBdr>
      <w:divsChild>
        <w:div w:id="806897277">
          <w:marLeft w:val="0"/>
          <w:marRight w:val="0"/>
          <w:marTop w:val="0"/>
          <w:marBottom w:val="0"/>
          <w:divBdr>
            <w:top w:val="none" w:sz="0" w:space="0" w:color="auto"/>
            <w:left w:val="none" w:sz="0" w:space="0" w:color="auto"/>
            <w:bottom w:val="none" w:sz="0" w:space="0" w:color="auto"/>
            <w:right w:val="none" w:sz="0" w:space="0" w:color="auto"/>
          </w:divBdr>
          <w:divsChild>
            <w:div w:id="20150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0947">
      <w:bodyDiv w:val="1"/>
      <w:marLeft w:val="0"/>
      <w:marRight w:val="0"/>
      <w:marTop w:val="0"/>
      <w:marBottom w:val="0"/>
      <w:divBdr>
        <w:top w:val="none" w:sz="0" w:space="0" w:color="auto"/>
        <w:left w:val="none" w:sz="0" w:space="0" w:color="auto"/>
        <w:bottom w:val="none" w:sz="0" w:space="0" w:color="auto"/>
        <w:right w:val="none" w:sz="0" w:space="0" w:color="auto"/>
      </w:divBdr>
    </w:div>
    <w:div w:id="1037269218">
      <w:bodyDiv w:val="1"/>
      <w:marLeft w:val="0"/>
      <w:marRight w:val="0"/>
      <w:marTop w:val="0"/>
      <w:marBottom w:val="0"/>
      <w:divBdr>
        <w:top w:val="none" w:sz="0" w:space="0" w:color="auto"/>
        <w:left w:val="none" w:sz="0" w:space="0" w:color="auto"/>
        <w:bottom w:val="none" w:sz="0" w:space="0" w:color="auto"/>
        <w:right w:val="none" w:sz="0" w:space="0" w:color="auto"/>
      </w:divBdr>
      <w:divsChild>
        <w:div w:id="1081831907">
          <w:marLeft w:val="0"/>
          <w:marRight w:val="0"/>
          <w:marTop w:val="100"/>
          <w:marBottom w:val="100"/>
          <w:divBdr>
            <w:top w:val="none" w:sz="0" w:space="0" w:color="auto"/>
            <w:left w:val="none" w:sz="0" w:space="0" w:color="auto"/>
            <w:bottom w:val="none" w:sz="0" w:space="0" w:color="auto"/>
            <w:right w:val="none" w:sz="0" w:space="0" w:color="auto"/>
          </w:divBdr>
          <w:divsChild>
            <w:div w:id="1320887547">
              <w:marLeft w:val="0"/>
              <w:marRight w:val="0"/>
              <w:marTop w:val="0"/>
              <w:marBottom w:val="0"/>
              <w:divBdr>
                <w:top w:val="single" w:sz="6" w:space="0" w:color="DEDCD8"/>
                <w:left w:val="single" w:sz="6" w:space="0" w:color="DEDCD8"/>
                <w:bottom w:val="single" w:sz="6" w:space="0" w:color="DEDCD8"/>
                <w:right w:val="single" w:sz="6" w:space="0" w:color="DEDCD8"/>
              </w:divBdr>
              <w:divsChild>
                <w:div w:id="17343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96064">
      <w:bodyDiv w:val="1"/>
      <w:marLeft w:val="0"/>
      <w:marRight w:val="0"/>
      <w:marTop w:val="0"/>
      <w:marBottom w:val="0"/>
      <w:divBdr>
        <w:top w:val="none" w:sz="0" w:space="0" w:color="auto"/>
        <w:left w:val="none" w:sz="0" w:space="0" w:color="auto"/>
        <w:bottom w:val="none" w:sz="0" w:space="0" w:color="auto"/>
        <w:right w:val="none" w:sz="0" w:space="0" w:color="auto"/>
      </w:divBdr>
    </w:div>
    <w:div w:id="1072121103">
      <w:bodyDiv w:val="1"/>
      <w:marLeft w:val="0"/>
      <w:marRight w:val="0"/>
      <w:marTop w:val="0"/>
      <w:marBottom w:val="0"/>
      <w:divBdr>
        <w:top w:val="none" w:sz="0" w:space="0" w:color="auto"/>
        <w:left w:val="none" w:sz="0" w:space="0" w:color="auto"/>
        <w:bottom w:val="none" w:sz="0" w:space="0" w:color="auto"/>
        <w:right w:val="none" w:sz="0" w:space="0" w:color="auto"/>
      </w:divBdr>
    </w:div>
    <w:div w:id="1083647531">
      <w:bodyDiv w:val="1"/>
      <w:marLeft w:val="0"/>
      <w:marRight w:val="0"/>
      <w:marTop w:val="0"/>
      <w:marBottom w:val="0"/>
      <w:divBdr>
        <w:top w:val="none" w:sz="0" w:space="0" w:color="auto"/>
        <w:left w:val="none" w:sz="0" w:space="0" w:color="auto"/>
        <w:bottom w:val="none" w:sz="0" w:space="0" w:color="auto"/>
        <w:right w:val="none" w:sz="0" w:space="0" w:color="auto"/>
      </w:divBdr>
    </w:div>
    <w:div w:id="1141195681">
      <w:bodyDiv w:val="1"/>
      <w:marLeft w:val="0"/>
      <w:marRight w:val="0"/>
      <w:marTop w:val="0"/>
      <w:marBottom w:val="0"/>
      <w:divBdr>
        <w:top w:val="none" w:sz="0" w:space="0" w:color="auto"/>
        <w:left w:val="none" w:sz="0" w:space="0" w:color="auto"/>
        <w:bottom w:val="none" w:sz="0" w:space="0" w:color="auto"/>
        <w:right w:val="none" w:sz="0" w:space="0" w:color="auto"/>
      </w:divBdr>
    </w:div>
    <w:div w:id="1253859365">
      <w:bodyDiv w:val="1"/>
      <w:marLeft w:val="0"/>
      <w:marRight w:val="0"/>
      <w:marTop w:val="0"/>
      <w:marBottom w:val="0"/>
      <w:divBdr>
        <w:top w:val="none" w:sz="0" w:space="0" w:color="auto"/>
        <w:left w:val="none" w:sz="0" w:space="0" w:color="auto"/>
        <w:bottom w:val="none" w:sz="0" w:space="0" w:color="auto"/>
        <w:right w:val="none" w:sz="0" w:space="0" w:color="auto"/>
      </w:divBdr>
    </w:div>
    <w:div w:id="1254122756">
      <w:bodyDiv w:val="1"/>
      <w:marLeft w:val="0"/>
      <w:marRight w:val="0"/>
      <w:marTop w:val="0"/>
      <w:marBottom w:val="0"/>
      <w:divBdr>
        <w:top w:val="none" w:sz="0" w:space="0" w:color="auto"/>
        <w:left w:val="none" w:sz="0" w:space="0" w:color="auto"/>
        <w:bottom w:val="none" w:sz="0" w:space="0" w:color="auto"/>
        <w:right w:val="none" w:sz="0" w:space="0" w:color="auto"/>
      </w:divBdr>
    </w:div>
    <w:div w:id="1255170788">
      <w:bodyDiv w:val="1"/>
      <w:marLeft w:val="0"/>
      <w:marRight w:val="0"/>
      <w:marTop w:val="0"/>
      <w:marBottom w:val="0"/>
      <w:divBdr>
        <w:top w:val="none" w:sz="0" w:space="0" w:color="auto"/>
        <w:left w:val="none" w:sz="0" w:space="0" w:color="auto"/>
        <w:bottom w:val="none" w:sz="0" w:space="0" w:color="auto"/>
        <w:right w:val="none" w:sz="0" w:space="0" w:color="auto"/>
      </w:divBdr>
    </w:div>
    <w:div w:id="1427461594">
      <w:bodyDiv w:val="1"/>
      <w:marLeft w:val="0"/>
      <w:marRight w:val="0"/>
      <w:marTop w:val="0"/>
      <w:marBottom w:val="0"/>
      <w:divBdr>
        <w:top w:val="none" w:sz="0" w:space="0" w:color="auto"/>
        <w:left w:val="none" w:sz="0" w:space="0" w:color="auto"/>
        <w:bottom w:val="none" w:sz="0" w:space="0" w:color="auto"/>
        <w:right w:val="none" w:sz="0" w:space="0" w:color="auto"/>
      </w:divBdr>
    </w:div>
    <w:div w:id="1699626321">
      <w:bodyDiv w:val="1"/>
      <w:marLeft w:val="0"/>
      <w:marRight w:val="0"/>
      <w:marTop w:val="0"/>
      <w:marBottom w:val="0"/>
      <w:divBdr>
        <w:top w:val="none" w:sz="0" w:space="0" w:color="auto"/>
        <w:left w:val="none" w:sz="0" w:space="0" w:color="auto"/>
        <w:bottom w:val="none" w:sz="0" w:space="0" w:color="auto"/>
        <w:right w:val="none" w:sz="0" w:space="0" w:color="auto"/>
      </w:divBdr>
    </w:div>
    <w:div w:id="1751925218">
      <w:bodyDiv w:val="1"/>
      <w:marLeft w:val="0"/>
      <w:marRight w:val="0"/>
      <w:marTop w:val="0"/>
      <w:marBottom w:val="0"/>
      <w:divBdr>
        <w:top w:val="none" w:sz="0" w:space="0" w:color="auto"/>
        <w:left w:val="none" w:sz="0" w:space="0" w:color="auto"/>
        <w:bottom w:val="none" w:sz="0" w:space="0" w:color="auto"/>
        <w:right w:val="none" w:sz="0" w:space="0" w:color="auto"/>
      </w:divBdr>
    </w:div>
    <w:div w:id="1818961141">
      <w:bodyDiv w:val="1"/>
      <w:marLeft w:val="0"/>
      <w:marRight w:val="0"/>
      <w:marTop w:val="0"/>
      <w:marBottom w:val="0"/>
      <w:divBdr>
        <w:top w:val="none" w:sz="0" w:space="0" w:color="auto"/>
        <w:left w:val="none" w:sz="0" w:space="0" w:color="auto"/>
        <w:bottom w:val="none" w:sz="0" w:space="0" w:color="auto"/>
        <w:right w:val="none" w:sz="0" w:space="0" w:color="auto"/>
      </w:divBdr>
    </w:div>
    <w:div w:id="1922906620">
      <w:bodyDiv w:val="1"/>
      <w:marLeft w:val="0"/>
      <w:marRight w:val="0"/>
      <w:marTop w:val="0"/>
      <w:marBottom w:val="0"/>
      <w:divBdr>
        <w:top w:val="none" w:sz="0" w:space="0" w:color="auto"/>
        <w:left w:val="none" w:sz="0" w:space="0" w:color="auto"/>
        <w:bottom w:val="none" w:sz="0" w:space="0" w:color="auto"/>
        <w:right w:val="none" w:sz="0" w:space="0" w:color="auto"/>
      </w:divBdr>
    </w:div>
    <w:div w:id="2076782764">
      <w:bodyDiv w:val="1"/>
      <w:marLeft w:val="0"/>
      <w:marRight w:val="0"/>
      <w:marTop w:val="0"/>
      <w:marBottom w:val="0"/>
      <w:divBdr>
        <w:top w:val="none" w:sz="0" w:space="0" w:color="auto"/>
        <w:left w:val="none" w:sz="0" w:space="0" w:color="auto"/>
        <w:bottom w:val="none" w:sz="0" w:space="0" w:color="auto"/>
        <w:right w:val="none" w:sz="0" w:space="0" w:color="auto"/>
      </w:divBdr>
      <w:divsChild>
        <w:div w:id="1021201230">
          <w:marLeft w:val="0"/>
          <w:marRight w:val="0"/>
          <w:marTop w:val="100"/>
          <w:marBottom w:val="100"/>
          <w:divBdr>
            <w:top w:val="none" w:sz="0" w:space="0" w:color="auto"/>
            <w:left w:val="none" w:sz="0" w:space="0" w:color="auto"/>
            <w:bottom w:val="none" w:sz="0" w:space="0" w:color="auto"/>
            <w:right w:val="none" w:sz="0" w:space="0" w:color="auto"/>
          </w:divBdr>
          <w:divsChild>
            <w:div w:id="1342391819">
              <w:marLeft w:val="0"/>
              <w:marRight w:val="0"/>
              <w:marTop w:val="0"/>
              <w:marBottom w:val="0"/>
              <w:divBdr>
                <w:top w:val="single" w:sz="6" w:space="0" w:color="DEDCD8"/>
                <w:left w:val="single" w:sz="6" w:space="0" w:color="DEDCD8"/>
                <w:bottom w:val="single" w:sz="6" w:space="0" w:color="DEDCD8"/>
                <w:right w:val="single" w:sz="6" w:space="0" w:color="DEDCD8"/>
              </w:divBdr>
              <w:divsChild>
                <w:div w:id="7446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85E1EEB-738C-47AD-AA05-D63EEB4450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7</Pages>
  <Words>738</Words>
  <Characters>4211</Characters>
  <Application>Microsoft Office Word</Application>
  <DocSecurity>0</DocSecurity>
  <Lines>35</Lines>
  <Paragraphs>9</Paragraphs>
  <ScaleCrop>false</ScaleCrop>
  <Company>Microsoft</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houyang</dc:creator>
  <cp:lastModifiedBy>lianbo gao</cp:lastModifiedBy>
  <cp:revision>196</cp:revision>
  <cp:lastPrinted>2021-07-14T08:34:00Z</cp:lastPrinted>
  <dcterms:created xsi:type="dcterms:W3CDTF">2019-09-17T02:15:00Z</dcterms:created>
  <dcterms:modified xsi:type="dcterms:W3CDTF">2025-03-21T00:50:00Z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A983A40E70D743D1A38D76CBDDA45DA9</vt:lpwstr>
  </property>
</Properties>
</file>